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D31980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D31980" w:rsidRDefault="00664641">
            <w:pPr>
              <w:spacing w:after="0" w:line="240" w:lineRule="auto"/>
            </w:pPr>
            <w:bookmarkStart w:id="0" w:name="_GoBack"/>
            <w:bookmarkEnd w:id="0"/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D31980" w:rsidRDefault="00664641">
            <w:pPr>
              <w:spacing w:after="0" w:line="240" w:lineRule="auto"/>
            </w:pPr>
            <w:r>
              <w:t>31729</w:t>
            </w:r>
          </w:p>
        </w:tc>
      </w:tr>
      <w:tr w:rsidR="00D31980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D31980" w:rsidRDefault="00664641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D31980" w:rsidRDefault="00664641">
            <w:pPr>
              <w:spacing w:after="0" w:line="240" w:lineRule="auto"/>
            </w:pPr>
            <w:r>
              <w:t>OPĆINA MARTIJANEC</w:t>
            </w:r>
          </w:p>
        </w:tc>
      </w:tr>
      <w:tr w:rsidR="00D31980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D31980" w:rsidRDefault="00664641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D31980" w:rsidRDefault="00664641">
            <w:pPr>
              <w:spacing w:after="0" w:line="240" w:lineRule="auto"/>
            </w:pPr>
            <w:r>
              <w:t>23</w:t>
            </w:r>
          </w:p>
        </w:tc>
      </w:tr>
    </w:tbl>
    <w:p w:rsidR="00D31980" w:rsidRDefault="00664641">
      <w:r>
        <w:br/>
      </w:r>
    </w:p>
    <w:p w:rsidR="00D31980" w:rsidRDefault="00664641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D31980" w:rsidRDefault="00664641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D31980" w:rsidRDefault="00664641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D31980" w:rsidRDefault="00D31980"/>
    <w:p w:rsidR="00D31980" w:rsidRDefault="00664641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D31980" w:rsidRDefault="00664641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D319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3198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1.010.790,61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1.193.148,68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118,0</w:t>
            </w:r>
          </w:p>
        </w:tc>
      </w:tr>
      <w:tr w:rsidR="00D3198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759.998,22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877.994,22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115,5</w:t>
            </w:r>
          </w:p>
        </w:tc>
      </w:tr>
      <w:tr w:rsidR="00D3198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31980" w:rsidRDefault="00D3198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250.792,39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315.154,46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125,7</w:t>
            </w:r>
          </w:p>
        </w:tc>
      </w:tr>
      <w:tr w:rsidR="00D3198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27.871,92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5.877,88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21,1</w:t>
            </w:r>
          </w:p>
        </w:tc>
      </w:tr>
      <w:tr w:rsidR="00D3198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275.141,19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373.628,98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135,8</w:t>
            </w:r>
          </w:p>
        </w:tc>
      </w:tr>
      <w:tr w:rsidR="00D3198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31980" w:rsidRDefault="00D3198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247.269,27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367.751,10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148,7</w:t>
            </w:r>
          </w:p>
        </w:tc>
      </w:tr>
      <w:tr w:rsidR="00D3198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D3198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Izdaci za financijsku imovinu i otplate zajmova </w:t>
            </w:r>
            <w:r>
              <w:rPr>
                <w:sz w:val="18"/>
              </w:rPr>
              <w:t>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51.466,18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15.760,82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30,6</w:t>
            </w:r>
          </w:p>
        </w:tc>
      </w:tr>
      <w:tr w:rsidR="00D3198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31980" w:rsidRDefault="00D3198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PRIMITAKA OD FINANCIJSKE IMOVINE I ZADUŽIVANJA (šifre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51.466,18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15.760,82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30,6</w:t>
            </w:r>
          </w:p>
        </w:tc>
      </w:tr>
      <w:tr w:rsidR="00D3198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31980" w:rsidRDefault="00D3198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47.943,06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68.357,46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142,6</w:t>
            </w:r>
          </w:p>
        </w:tc>
      </w:tr>
    </w:tbl>
    <w:p w:rsidR="00D31980" w:rsidRDefault="00D31980">
      <w:pPr>
        <w:spacing w:after="0"/>
      </w:pPr>
    </w:p>
    <w:p w:rsidR="00D31980" w:rsidRDefault="00664641">
      <w:pPr>
        <w:spacing w:line="240" w:lineRule="auto"/>
        <w:jc w:val="both"/>
      </w:pPr>
      <w:r>
        <w:t xml:space="preserve">Ukupni prihodi Općine </w:t>
      </w:r>
      <w:r>
        <w:t xml:space="preserve">Martijanec i njezinog proračunskog korisnika Dječjeg vrtića Vlakić Martijanec u promatranom razdoblju ostvareni su u iznosu od 1.193.148,68 EUR dok su ukupni rashodi poslovanja izvršeni u iznosu od 877.994,22  EUR što dovodi do viška prihoda poslovanja od </w:t>
      </w:r>
      <w:r>
        <w:t xml:space="preserve">315.154,46 EUR. Ukupni prihodi od prodaje nefinancijske imovine ostvareni su u iznosu od 5.877,88 EUR, a ukupni rashodi za nabavu nefinancijske imovine ostvareni su u iznosu od 373.628,98 EUR što dovodi do manjka prihoda od nefinancijske imovine u iznosu </w:t>
      </w:r>
      <w:r>
        <w:lastRenderedPageBreak/>
        <w:t>o</w:t>
      </w:r>
      <w:r>
        <w:t>d 367.751,10 EUR.  Primitaka od financijske imovine nije bilo dok su izdaci za financijsku imovinu iznosili 15.760,82 EUR što dovodi do manjka od financijske imovine u iznosu od 15.760,82 EUR. Sve ranije navedeno dovelo je do manjka prihoda i primitaka u o</w:t>
      </w:r>
      <w:r>
        <w:t>vom izvještajnom razdoblju od 68.357,46 EUR, ali uz preneseni višak od 226.818,79 EUR ostvaren je višak od 158.461,33 EUR.</w:t>
      </w:r>
    </w:p>
    <w:p w:rsidR="00D31980" w:rsidRDefault="00664641">
      <w:r>
        <w:br/>
      </w:r>
    </w:p>
    <w:p w:rsidR="00D31980" w:rsidRDefault="00664641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D319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</w:t>
            </w:r>
            <w:r>
              <w:rPr>
                <w:b/>
                <w:sz w:val="18"/>
              </w:rPr>
              <w:t>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3198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31980" w:rsidRDefault="00D3198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250.792,39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315.154,46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125,7</w:t>
            </w:r>
          </w:p>
        </w:tc>
      </w:tr>
    </w:tbl>
    <w:p w:rsidR="00D31980" w:rsidRDefault="00D31980">
      <w:pPr>
        <w:spacing w:after="0"/>
      </w:pPr>
    </w:p>
    <w:p w:rsidR="00D31980" w:rsidRDefault="00664641">
      <w:pPr>
        <w:spacing w:line="240" w:lineRule="auto"/>
        <w:jc w:val="both"/>
      </w:pPr>
      <w:r>
        <w:t>Prihodi poslovanja, odnosno njihov višak iskazan na kraju izvještajnog razdoblja najvećim dijelom je rezultat većih prihoda u proračunu.</w:t>
      </w:r>
    </w:p>
    <w:p w:rsidR="00D31980" w:rsidRDefault="00D31980"/>
    <w:p w:rsidR="00D31980" w:rsidRDefault="00664641">
      <w:pPr>
        <w:keepNext/>
        <w:spacing w:line="240" w:lineRule="auto"/>
        <w:jc w:val="center"/>
      </w:pPr>
      <w:r>
        <w:rPr>
          <w:sz w:val="28"/>
        </w:rPr>
        <w:t xml:space="preserve">Bilješka </w:t>
      </w:r>
      <w:r>
        <w:rPr>
          <w:sz w:val="28"/>
        </w:rPr>
        <w:t>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D319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3198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31980" w:rsidRDefault="00D3198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247.269,27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367.751,10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148,7</w:t>
            </w:r>
          </w:p>
        </w:tc>
      </w:tr>
    </w:tbl>
    <w:p w:rsidR="00D31980" w:rsidRDefault="00D31980">
      <w:pPr>
        <w:spacing w:after="0"/>
      </w:pPr>
    </w:p>
    <w:p w:rsidR="00D31980" w:rsidRDefault="00664641">
      <w:pPr>
        <w:spacing w:line="240" w:lineRule="auto"/>
        <w:jc w:val="both"/>
      </w:pPr>
      <w:r>
        <w:t xml:space="preserve">Općina </w:t>
      </w:r>
      <w:r>
        <w:t>Martijanec je iskazani manjak financirala iz prihoda poslovanja, a što u računu prihoda i rashoda nije vidljivo. Kod proračunskog korisnika manjak prihoda od nefinancijske imovine iskazan je iz razloga što isti nemaju ostvarenih prihoda od prodaje nefinanc</w:t>
      </w:r>
      <w:r>
        <w:t>ijske imovine.</w:t>
      </w:r>
    </w:p>
    <w:p w:rsidR="00D31980" w:rsidRDefault="00D31980"/>
    <w:p w:rsidR="00D31980" w:rsidRDefault="00664641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D319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3198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9221-9222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Višak prihoda i primitaka - preneseni (šifre '9221x,9222x VP' - </w:t>
            </w:r>
            <w:r>
              <w:rPr>
                <w:sz w:val="18"/>
              </w:rPr>
              <w:t>'9221x,9222x MP' + 92213 - 92223)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9221-9222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487.756,20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226.818,79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46,5</w:t>
            </w:r>
          </w:p>
        </w:tc>
      </w:tr>
    </w:tbl>
    <w:p w:rsidR="00D31980" w:rsidRDefault="00D31980">
      <w:pPr>
        <w:spacing w:after="0"/>
      </w:pPr>
    </w:p>
    <w:p w:rsidR="00D31980" w:rsidRDefault="00664641">
      <w:pPr>
        <w:spacing w:line="240" w:lineRule="auto"/>
        <w:jc w:val="both"/>
      </w:pPr>
      <w:r>
        <w:t xml:space="preserve">Preneseni višak prihoda i primitaka iznosi 226.818,79 EUR i sastoji se od viška Općine Martijanec u iznosu od 219.500,53 EUR i viška Dječjeg vrtića Vlakić Martijanec u iznosu od </w:t>
      </w:r>
      <w:r>
        <w:t>7.318,26 EUR.</w:t>
      </w:r>
    </w:p>
    <w:p w:rsidR="00D31980" w:rsidRDefault="00D31980"/>
    <w:p w:rsidR="00D31980" w:rsidRDefault="00664641">
      <w:pPr>
        <w:keepNext/>
        <w:spacing w:line="240" w:lineRule="auto"/>
        <w:jc w:val="center"/>
      </w:pPr>
      <w:r>
        <w:rPr>
          <w:sz w:val="28"/>
        </w:rPr>
        <w:lastRenderedPageBreak/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D319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3198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31980" w:rsidRDefault="00D3198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Višak prihoda i primitaka raspoloživ u sljedećem razdoblju (šifre X005 + </w:t>
            </w:r>
            <w:r>
              <w:rPr>
                <w:sz w:val="18"/>
              </w:rPr>
              <w:t>'9221-9222' - Y005 - '9222-9221')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X006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439.813,14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158.461,33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36,0</w:t>
            </w:r>
          </w:p>
        </w:tc>
      </w:tr>
    </w:tbl>
    <w:p w:rsidR="00D31980" w:rsidRDefault="00D31980">
      <w:pPr>
        <w:spacing w:after="0"/>
      </w:pPr>
    </w:p>
    <w:p w:rsidR="00D31980" w:rsidRDefault="00664641">
      <w:pPr>
        <w:spacing w:line="240" w:lineRule="auto"/>
        <w:jc w:val="both"/>
      </w:pPr>
      <w:r>
        <w:t xml:space="preserve">Ostvareni višak prihoda i primitaka raspoloživ u sljedećem razdoblju je 158.461,33 EUR. Općina Martijanec je u razdoblju od I.-VI.2025. godine ostvarila višak prihoda i primitaka </w:t>
      </w:r>
      <w:r>
        <w:t>raspoloživog za slijedeće razdoblje u iznosu od 138.079,64 EUR, a proračunski korisnik je ostvario višak prihoda i primitaka za pokriće u slijedećem razdoblju u iznosu od 20.381,69 EUR.</w:t>
      </w:r>
    </w:p>
    <w:p w:rsidR="00D31980" w:rsidRDefault="00D31980"/>
    <w:p w:rsidR="00D31980" w:rsidRDefault="00664641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:rsidR="00D31980" w:rsidRDefault="00664641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D319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3198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31980" w:rsidRDefault="00D3198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obveza na kraju izvještajnog razdoblja (šifre V001+V002-V004) i (šifre V007+V009)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351.194,39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D31980" w:rsidRDefault="00D31980">
      <w:pPr>
        <w:spacing w:after="0"/>
      </w:pPr>
    </w:p>
    <w:p w:rsidR="00D31980" w:rsidRDefault="00664641">
      <w:pPr>
        <w:spacing w:line="240" w:lineRule="auto"/>
        <w:jc w:val="both"/>
      </w:pPr>
      <w:r>
        <w:t xml:space="preserve">Ukupne obveze Općine Martijanec i njegovog proračunskog korisnika na dan 30. lipnja 2025. godine iznose 351.194,39 EUR i </w:t>
      </w:r>
      <w:r>
        <w:t>to 313.547,12 EUR obveze Općine Martijanec i 37.647,27 EUR Dječjeg vrtića Vlakić Martijanec.</w:t>
      </w:r>
    </w:p>
    <w:p w:rsidR="00D31980" w:rsidRDefault="00D31980"/>
    <w:p w:rsidR="00D31980" w:rsidRDefault="00664641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D319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3198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31980" w:rsidRDefault="00D3198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</w:t>
            </w:r>
            <w:r>
              <w:rPr>
                <w:sz w:val="18"/>
              </w:rPr>
              <w:t xml:space="preserve">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9.309,08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31980" w:rsidRDefault="0066464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D31980" w:rsidRDefault="00D31980">
      <w:pPr>
        <w:spacing w:after="0"/>
      </w:pPr>
    </w:p>
    <w:p w:rsidR="00D31980" w:rsidRDefault="00664641">
      <w:pPr>
        <w:spacing w:line="240" w:lineRule="auto"/>
        <w:jc w:val="both"/>
      </w:pPr>
      <w:r>
        <w:t xml:space="preserve">Ukupno stanje dospjelih obveza u konsolidiranom izvještaju iznosi 9.309,08 EUR i to se odnosi na dospjele obveze Općine Martijanec, a obuhvaćaju slijedeće obveze: HRVATSKE VODE –  obveza za naknadu za uređenje voda u iznosu od </w:t>
      </w:r>
      <w:r>
        <w:t xml:space="preserve">4.338,80 </w:t>
      </w:r>
      <w:proofErr w:type="spellStart"/>
      <w:r>
        <w:t>eur</w:t>
      </w:r>
      <w:proofErr w:type="spellEnd"/>
      <w:r>
        <w:t xml:space="preserve">, DI-MAT j.d.o.o. – obveza za nabavu klime na groblju Slanje u iznosu od 1.110,31 </w:t>
      </w:r>
      <w:proofErr w:type="spellStart"/>
      <w:r>
        <w:t>eur</w:t>
      </w:r>
      <w:proofErr w:type="spellEnd"/>
      <w:r>
        <w:t xml:space="preserve">, Javni bilježnik Kruno </w:t>
      </w:r>
      <w:proofErr w:type="spellStart"/>
      <w:r>
        <w:t>Radašić</w:t>
      </w:r>
      <w:proofErr w:type="spellEnd"/>
      <w:r>
        <w:t xml:space="preserve"> –  za usluge javnog bilježnika u iznosu od 297,47 </w:t>
      </w:r>
      <w:proofErr w:type="spellStart"/>
      <w:r>
        <w:t>eur</w:t>
      </w:r>
      <w:proofErr w:type="spellEnd"/>
      <w:r>
        <w:t xml:space="preserve"> i </w:t>
      </w:r>
      <w:proofErr w:type="spellStart"/>
      <w:r>
        <w:t>Termoprom</w:t>
      </w:r>
      <w:proofErr w:type="spellEnd"/>
      <w:r>
        <w:t xml:space="preserve"> d.o.o. - za uslugu prozračivanja, četkanja, </w:t>
      </w:r>
      <w:proofErr w:type="spellStart"/>
      <w:r>
        <w:t>nadosijavanja</w:t>
      </w:r>
      <w:proofErr w:type="spellEnd"/>
      <w:r>
        <w:t xml:space="preserve"> tra</w:t>
      </w:r>
      <w:r>
        <w:t xml:space="preserve">vnjaka, aplikacija pijeska i gnojiva na teren za NK Polet Martijanec u iznosu od 3.562,50 </w:t>
      </w:r>
      <w:proofErr w:type="spellStart"/>
      <w:r>
        <w:t>eur</w:t>
      </w:r>
      <w:proofErr w:type="spellEnd"/>
      <w:r>
        <w:t>.</w:t>
      </w:r>
    </w:p>
    <w:p w:rsidR="00D31980" w:rsidRDefault="00D31980"/>
    <w:p w:rsidR="00D31980" w:rsidRDefault="00664641">
      <w:pPr>
        <w:keepNext/>
        <w:spacing w:line="240" w:lineRule="auto"/>
        <w:jc w:val="center"/>
      </w:pPr>
      <w:r>
        <w:rPr>
          <w:sz w:val="28"/>
        </w:rPr>
        <w:t>Bilješka 8.</w:t>
      </w:r>
    </w:p>
    <w:p w:rsidR="00D31980" w:rsidRDefault="00664641">
      <w:pPr>
        <w:spacing w:line="240" w:lineRule="auto"/>
        <w:jc w:val="both"/>
      </w:pPr>
      <w:proofErr w:type="spellStart"/>
      <w:r>
        <w:rPr>
          <w:b/>
        </w:rPr>
        <w:t>Unutargrupne</w:t>
      </w:r>
      <w:proofErr w:type="spellEnd"/>
      <w:r>
        <w:rPr>
          <w:b/>
        </w:rPr>
        <w:t xml:space="preserve"> transakcije koje su u izvještajima eliminirane</w:t>
      </w:r>
    </w:p>
    <w:p w:rsidR="00D31980" w:rsidRDefault="00664641">
      <w:pPr>
        <w:spacing w:line="240" w:lineRule="auto"/>
        <w:jc w:val="both"/>
      </w:pPr>
      <w:r>
        <w:lastRenderedPageBreak/>
        <w:t>U izvještaju je eliminiran konto 36721 Prijenosi proračunskim korisnicima - prijenos Dje</w:t>
      </w:r>
      <w:r>
        <w:t>čjem vrtiću Vlakić Martijanec iz izvještaja nadležnog proračuna u iznosu od 228.000,00 EUR i konto 67111 Prihodi iz nadležnog proračuna za financiranje rashoda poslovanja u iznosu od 228.000,00 EUR iz izvještaja proračunskog korisnika.</w:t>
      </w:r>
    </w:p>
    <w:p w:rsidR="00D31980" w:rsidRDefault="00D31980"/>
    <w:p w:rsidR="00D31980" w:rsidRDefault="00664641">
      <w:pPr>
        <w:keepNext/>
        <w:spacing w:line="240" w:lineRule="auto"/>
        <w:jc w:val="center"/>
      </w:pPr>
      <w:r>
        <w:rPr>
          <w:sz w:val="28"/>
        </w:rPr>
        <w:t>Bilješka 9.</w:t>
      </w:r>
    </w:p>
    <w:p w:rsidR="00D31980" w:rsidRDefault="00664641">
      <w:pPr>
        <w:spacing w:line="240" w:lineRule="auto"/>
        <w:jc w:val="both"/>
      </w:pPr>
      <w:r>
        <w:rPr>
          <w:b/>
        </w:rPr>
        <w:t xml:space="preserve">Manjak </w:t>
      </w:r>
      <w:r>
        <w:rPr>
          <w:b/>
        </w:rPr>
        <w:t>ili višak u poslovanju grupe i pregled strukture manjka/viška po proračunskim korisnicima</w:t>
      </w:r>
    </w:p>
    <w:p w:rsidR="00D31980" w:rsidRDefault="00664641">
      <w:pPr>
        <w:spacing w:line="240" w:lineRule="auto"/>
        <w:jc w:val="both"/>
      </w:pPr>
      <w:r>
        <w:t xml:space="preserve">U izvještajnom razdoblju </w:t>
      </w:r>
      <w:proofErr w:type="spellStart"/>
      <w:r>
        <w:t>ostavren</w:t>
      </w:r>
      <w:proofErr w:type="spellEnd"/>
      <w:r>
        <w:t xml:space="preserve"> je manjak prihoda od 68.357,46 EUR, ali uz preneseni višak od 226.818,79 EUR ostvaren je višak od 158.461,33 EUR. Općina Martijanec </w:t>
      </w:r>
      <w:r>
        <w:t xml:space="preserve">je, uz preneseni višak ostvarila 138.079,64 EUR dok je jedini proračunski korisnik Dječji vrtić Vlakić Martijanec </w:t>
      </w:r>
      <w:proofErr w:type="spellStart"/>
      <w:r>
        <w:t>ostavrio</w:t>
      </w:r>
      <w:proofErr w:type="spellEnd"/>
      <w:r>
        <w:t xml:space="preserve"> 20.381,69 EUR.</w:t>
      </w:r>
    </w:p>
    <w:p w:rsidR="00D31980" w:rsidRDefault="00D31980"/>
    <w:sectPr w:rsidR="00D31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80"/>
    <w:rsid w:val="00664641"/>
    <w:rsid w:val="00D3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2025-07-18T09:32:00Z</dcterms:created>
  <dcterms:modified xsi:type="dcterms:W3CDTF">2025-07-18T09:32:00Z</dcterms:modified>
</cp:coreProperties>
</file>