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E6C0" w14:textId="5E5B21F0" w:rsidR="004B19B9" w:rsidRPr="00363F9C" w:rsidRDefault="004B19B9" w:rsidP="004B19B9">
      <w:pPr>
        <w:spacing w:after="0" w:line="276" w:lineRule="auto"/>
        <w:jc w:val="right"/>
        <w:rPr>
          <w:rFonts w:ascii="Garamond" w:eastAsiaTheme="minorEastAsia" w:hAnsi="Garamond" w:cs="Times New Roman"/>
          <w:b/>
          <w:bCs/>
          <w:color w:val="000000"/>
          <w:sz w:val="24"/>
          <w:szCs w:val="24"/>
          <w:u w:val="single"/>
          <w:lang w:eastAsia="hr-HR"/>
        </w:rPr>
      </w:pPr>
      <w:r w:rsidRPr="00363F9C">
        <w:rPr>
          <w:rFonts w:ascii="Garamond" w:eastAsiaTheme="minorEastAsia" w:hAnsi="Garamond" w:cs="Times New Roman"/>
          <w:b/>
          <w:bCs/>
          <w:color w:val="000000"/>
          <w:sz w:val="24"/>
          <w:szCs w:val="24"/>
          <w:u w:val="single"/>
          <w:lang w:eastAsia="hr-HR"/>
        </w:rPr>
        <w:t>PRIJEDLOG</w:t>
      </w:r>
    </w:p>
    <w:p w14:paraId="3C09245E" w14:textId="21AB221E" w:rsidR="00A50099" w:rsidRPr="00363F9C" w:rsidRDefault="00A50099" w:rsidP="00A50099">
      <w:pPr>
        <w:pStyle w:val="StandardWeb"/>
        <w:shd w:val="clear" w:color="auto" w:fill="FFFFFF"/>
        <w:spacing w:before="0" w:beforeAutospacing="0" w:after="75" w:afterAutospacing="0"/>
        <w:jc w:val="both"/>
        <w:rPr>
          <w:rFonts w:ascii="Garamond" w:hAnsi="Garamond"/>
          <w:b/>
          <w:bCs/>
        </w:rPr>
      </w:pPr>
      <w:r w:rsidRPr="00363F9C">
        <w:rPr>
          <w:rFonts w:ascii="Garamond" w:hAnsi="Garamond"/>
        </w:rPr>
        <w:t>Na temelju članka 35. Zakona o lokalnoj i područnoj (regionalnoj) samoupravi („Narodne novine“ broj 33/01, 60/01, 129/05, 109/07, 125/08, 36/09, 150/11, 144/12, 19/13, 137/15, 123/17, 98/19 i 144/20), članka 14. Odluke o osnivanju Dječjeg vrtića „Vlakić“ („Službeni vjesnik varaždinske županije“ broj 39/20 i 25/20) i članka 31. Statuta Općine Martijanec („Službeni vjesnik Varaždinske županije“ broj 10/13, 24/13, 18/18, 09/20</w:t>
      </w:r>
      <w:r w:rsidR="00EE15E6" w:rsidRPr="00363F9C">
        <w:rPr>
          <w:rFonts w:ascii="Garamond" w:hAnsi="Garamond"/>
        </w:rPr>
        <w:t>,</w:t>
      </w:r>
      <w:r w:rsidRPr="00363F9C">
        <w:rPr>
          <w:rFonts w:ascii="Garamond" w:hAnsi="Garamond"/>
        </w:rPr>
        <w:t xml:space="preserve"> 14/21</w:t>
      </w:r>
      <w:r w:rsidR="00EE15E6" w:rsidRPr="00363F9C">
        <w:rPr>
          <w:rFonts w:ascii="Garamond" w:hAnsi="Garamond"/>
        </w:rPr>
        <w:t xml:space="preserve"> i 14/23</w:t>
      </w:r>
      <w:r w:rsidRPr="00363F9C">
        <w:rPr>
          <w:rFonts w:ascii="Garamond" w:hAnsi="Garamond"/>
        </w:rPr>
        <w:t xml:space="preserve">), a u svezi s člankom 41. i 51. Zakona  o predškolskom odgoju i obrazovanju („Narodne novine“ broj 10/97, 107/07, 94/13, 98/19 i 57/22), </w:t>
      </w:r>
      <w:r w:rsidRPr="00363F9C">
        <w:rPr>
          <w:rFonts w:ascii="Garamond" w:hAnsi="Garamond"/>
          <w:b/>
        </w:rPr>
        <w:t xml:space="preserve">Općinsko vijeće Općine Martijanec na 17. sjednici održanoj dana 10. </w:t>
      </w:r>
      <w:r w:rsidR="004B568E" w:rsidRPr="00363F9C">
        <w:rPr>
          <w:rFonts w:ascii="Garamond" w:hAnsi="Garamond"/>
          <w:b/>
        </w:rPr>
        <w:t>srpnja</w:t>
      </w:r>
      <w:r w:rsidRPr="00363F9C">
        <w:rPr>
          <w:rFonts w:ascii="Garamond" w:hAnsi="Garamond"/>
          <w:b/>
        </w:rPr>
        <w:t xml:space="preserve"> 202</w:t>
      </w:r>
      <w:r w:rsidR="004B568E" w:rsidRPr="00363F9C">
        <w:rPr>
          <w:rFonts w:ascii="Garamond" w:hAnsi="Garamond"/>
          <w:b/>
        </w:rPr>
        <w:t>3</w:t>
      </w:r>
      <w:r w:rsidRPr="00363F9C">
        <w:rPr>
          <w:rFonts w:ascii="Garamond" w:hAnsi="Garamond"/>
          <w:b/>
        </w:rPr>
        <w:t>. godine, donosi</w:t>
      </w:r>
      <w:r w:rsidRPr="00363F9C">
        <w:rPr>
          <w:rFonts w:ascii="Garamond" w:hAnsi="Garamond"/>
          <w:b/>
          <w:bCs/>
        </w:rPr>
        <w:t> </w:t>
      </w:r>
    </w:p>
    <w:p w14:paraId="5EC12D84" w14:textId="77777777" w:rsidR="004B19B9" w:rsidRPr="00363F9C" w:rsidRDefault="004B19B9" w:rsidP="004B19B9">
      <w:pPr>
        <w:jc w:val="center"/>
        <w:rPr>
          <w:rFonts w:ascii="Garamond" w:hAnsi="Garamond"/>
          <w:b/>
          <w:bCs/>
          <w:sz w:val="24"/>
          <w:szCs w:val="24"/>
        </w:rPr>
      </w:pPr>
    </w:p>
    <w:p w14:paraId="2A2906E7" w14:textId="7EFD9F36" w:rsidR="004B19B9" w:rsidRPr="00363F9C" w:rsidRDefault="004B19B9" w:rsidP="004B19B9">
      <w:pPr>
        <w:jc w:val="center"/>
        <w:rPr>
          <w:rFonts w:ascii="Garamond" w:hAnsi="Garamond"/>
          <w:sz w:val="24"/>
          <w:szCs w:val="24"/>
        </w:rPr>
      </w:pPr>
      <w:r w:rsidRPr="00363F9C">
        <w:rPr>
          <w:rFonts w:ascii="Garamond" w:hAnsi="Garamond"/>
          <w:b/>
          <w:bCs/>
          <w:sz w:val="24"/>
          <w:szCs w:val="24"/>
        </w:rPr>
        <w:t>ODLUK</w:t>
      </w:r>
      <w:r w:rsidR="00D53719" w:rsidRPr="00363F9C">
        <w:rPr>
          <w:rFonts w:ascii="Garamond" w:hAnsi="Garamond"/>
          <w:b/>
          <w:bCs/>
          <w:sz w:val="24"/>
          <w:szCs w:val="24"/>
        </w:rPr>
        <w:t>U</w:t>
      </w:r>
      <w:r w:rsidRPr="00363F9C">
        <w:rPr>
          <w:rFonts w:ascii="Garamond" w:hAnsi="Garamond"/>
          <w:b/>
          <w:bCs/>
          <w:sz w:val="24"/>
          <w:szCs w:val="24"/>
        </w:rPr>
        <w:t xml:space="preserve"> O NAČINU UTVRĐIVANJA PLAĆA I VISINI KOEFICIJENATA ZA OBRAČUN PLAĆA DJELATNIKA DJEČJEG VRTIĆA VLAKIĆ MARTIJANEC</w:t>
      </w:r>
    </w:p>
    <w:p w14:paraId="02FAA47D" w14:textId="77777777" w:rsidR="004B19B9" w:rsidRPr="00363F9C" w:rsidRDefault="004B19B9" w:rsidP="004B19B9">
      <w:pPr>
        <w:jc w:val="center"/>
        <w:rPr>
          <w:rFonts w:ascii="Garamond" w:hAnsi="Garamond" w:cs="Times New Roman"/>
          <w:sz w:val="24"/>
          <w:szCs w:val="24"/>
        </w:rPr>
      </w:pPr>
      <w:r w:rsidRPr="00363F9C">
        <w:rPr>
          <w:rFonts w:ascii="Garamond" w:hAnsi="Garamond" w:cs="Times New Roman"/>
          <w:b/>
          <w:bCs/>
          <w:sz w:val="24"/>
          <w:szCs w:val="24"/>
        </w:rPr>
        <w:t>I.</w:t>
      </w:r>
    </w:p>
    <w:p w14:paraId="6484F758"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Ovom Odlukom utvrđuju se kriteriji i koeficijenti za obračun plaće za djelatnike zaposlene u Dječjem vrtiću Vlakić Martijanec.</w:t>
      </w:r>
    </w:p>
    <w:p w14:paraId="5C11E40E"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II.</w:t>
      </w:r>
    </w:p>
    <w:p w14:paraId="3566CBF2"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Riječi i pojmovi koji su korišteni u ovoj Odluci, a koji imaju rodno značenje odnose se jednako na muški i ženski rod, bez obzira jesu li korišteni u muškom ili ženskom rodu.</w:t>
      </w:r>
    </w:p>
    <w:p w14:paraId="43AADB1B"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III.</w:t>
      </w:r>
    </w:p>
    <w:p w14:paraId="0CA46CA2"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Plaću djelatnika čini umnožak koeficijenta i osnovice za obračun plaće, uvećan za 0,5% za svaku navršenu godinu radnog staža.</w:t>
      </w:r>
    </w:p>
    <w:p w14:paraId="1AE843D1"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IV.</w:t>
      </w:r>
    </w:p>
    <w:p w14:paraId="5B7E6EE8"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Pri određivanju koeficijenta za pojedino radno mjesto uzima se u obzir opseg i složenost poslova, odgovornost i samostalnost u obavljanju poslova, stručna sprema i radno iskustvo koji se traže za pojedino radno mjesto, te ostali elementi koji definiraju određeno radno mjesto.</w:t>
      </w:r>
    </w:p>
    <w:p w14:paraId="1C71AD26"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V.</w:t>
      </w:r>
    </w:p>
    <w:p w14:paraId="500C4FBD"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Za djelatnike zaposlene u Dječjem vrtiću Vlakić Martijanec utvrđuju se sljedeći koeficijenti:</w:t>
      </w:r>
    </w:p>
    <w:tbl>
      <w:tblPr>
        <w:tblStyle w:val="Reetkatablice"/>
        <w:tblW w:w="9062" w:type="dxa"/>
        <w:tblLook w:val="04A0" w:firstRow="1" w:lastRow="0" w:firstColumn="1" w:lastColumn="0" w:noHBand="0" w:noVBand="1"/>
      </w:tblPr>
      <w:tblGrid>
        <w:gridCol w:w="6658"/>
        <w:gridCol w:w="2404"/>
      </w:tblGrid>
      <w:tr w:rsidR="004B19B9" w:rsidRPr="00363F9C" w14:paraId="2CDFB241" w14:textId="77777777" w:rsidTr="00895948">
        <w:tc>
          <w:tcPr>
            <w:tcW w:w="6657" w:type="dxa"/>
            <w:shd w:val="clear" w:color="auto" w:fill="auto"/>
          </w:tcPr>
          <w:p w14:paraId="035BE3B3" w14:textId="77777777" w:rsidR="004B19B9" w:rsidRPr="00363F9C" w:rsidRDefault="004B19B9" w:rsidP="00895948">
            <w:pPr>
              <w:jc w:val="both"/>
              <w:rPr>
                <w:rFonts w:ascii="Garamond" w:hAnsi="Garamond" w:cs="Times New Roman"/>
                <w:b/>
                <w:bCs/>
                <w:sz w:val="24"/>
                <w:szCs w:val="24"/>
              </w:rPr>
            </w:pPr>
            <w:r w:rsidRPr="00363F9C">
              <w:rPr>
                <w:rFonts w:ascii="Garamond" w:hAnsi="Garamond" w:cs="Times New Roman"/>
                <w:b/>
                <w:bCs/>
                <w:sz w:val="24"/>
                <w:szCs w:val="24"/>
              </w:rPr>
              <w:t>Naziv radnog mjesta</w:t>
            </w:r>
          </w:p>
        </w:tc>
        <w:tc>
          <w:tcPr>
            <w:tcW w:w="2404" w:type="dxa"/>
            <w:shd w:val="clear" w:color="auto" w:fill="auto"/>
          </w:tcPr>
          <w:p w14:paraId="773AFBED" w14:textId="77777777" w:rsidR="004B19B9" w:rsidRPr="00363F9C" w:rsidRDefault="004B19B9" w:rsidP="00895948">
            <w:pPr>
              <w:jc w:val="both"/>
              <w:rPr>
                <w:rFonts w:ascii="Garamond" w:hAnsi="Garamond" w:cs="Times New Roman"/>
                <w:b/>
                <w:bCs/>
                <w:sz w:val="24"/>
                <w:szCs w:val="24"/>
              </w:rPr>
            </w:pPr>
            <w:r w:rsidRPr="00363F9C">
              <w:rPr>
                <w:rFonts w:ascii="Garamond" w:hAnsi="Garamond" w:cs="Times New Roman"/>
                <w:b/>
                <w:bCs/>
                <w:sz w:val="24"/>
                <w:szCs w:val="24"/>
              </w:rPr>
              <w:t>Koeficijent</w:t>
            </w:r>
          </w:p>
        </w:tc>
      </w:tr>
      <w:tr w:rsidR="004B19B9" w:rsidRPr="00363F9C" w14:paraId="1F30EB29" w14:textId="77777777" w:rsidTr="00895948">
        <w:tc>
          <w:tcPr>
            <w:tcW w:w="6657" w:type="dxa"/>
            <w:shd w:val="clear" w:color="auto" w:fill="auto"/>
          </w:tcPr>
          <w:p w14:paraId="1CC62488"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Ravnatelj (VSS)</w:t>
            </w:r>
          </w:p>
        </w:tc>
        <w:tc>
          <w:tcPr>
            <w:tcW w:w="2404" w:type="dxa"/>
            <w:shd w:val="clear" w:color="auto" w:fill="auto"/>
          </w:tcPr>
          <w:p w14:paraId="787442BB"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2,317</w:t>
            </w:r>
          </w:p>
        </w:tc>
      </w:tr>
      <w:tr w:rsidR="004B19B9" w:rsidRPr="00363F9C" w14:paraId="4DE54566" w14:textId="77777777" w:rsidTr="00895948">
        <w:tc>
          <w:tcPr>
            <w:tcW w:w="6657" w:type="dxa"/>
            <w:tcBorders>
              <w:top w:val="nil"/>
            </w:tcBorders>
            <w:shd w:val="clear" w:color="auto" w:fill="auto"/>
          </w:tcPr>
          <w:p w14:paraId="32BA34AD"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Ravnatelj (VŠS)</w:t>
            </w:r>
          </w:p>
        </w:tc>
        <w:tc>
          <w:tcPr>
            <w:tcW w:w="2404" w:type="dxa"/>
            <w:tcBorders>
              <w:top w:val="nil"/>
            </w:tcBorders>
            <w:shd w:val="clear" w:color="auto" w:fill="auto"/>
          </w:tcPr>
          <w:p w14:paraId="2C838DD7"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2,037</w:t>
            </w:r>
          </w:p>
        </w:tc>
      </w:tr>
      <w:tr w:rsidR="004B19B9" w:rsidRPr="00363F9C" w14:paraId="279B9366" w14:textId="77777777" w:rsidTr="00895948">
        <w:tc>
          <w:tcPr>
            <w:tcW w:w="6657" w:type="dxa"/>
            <w:shd w:val="clear" w:color="auto" w:fill="auto"/>
          </w:tcPr>
          <w:p w14:paraId="6FA44127"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Pedagog bez položenog stručnog ispita</w:t>
            </w:r>
          </w:p>
        </w:tc>
        <w:tc>
          <w:tcPr>
            <w:tcW w:w="2404" w:type="dxa"/>
            <w:shd w:val="clear" w:color="auto" w:fill="auto"/>
          </w:tcPr>
          <w:p w14:paraId="0B6472FA"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1,357</w:t>
            </w:r>
          </w:p>
        </w:tc>
      </w:tr>
      <w:tr w:rsidR="004B19B9" w:rsidRPr="00363F9C" w14:paraId="4B22BEA7" w14:textId="77777777" w:rsidTr="00895948">
        <w:tc>
          <w:tcPr>
            <w:tcW w:w="6657" w:type="dxa"/>
            <w:tcBorders>
              <w:top w:val="nil"/>
            </w:tcBorders>
            <w:shd w:val="clear" w:color="auto" w:fill="auto"/>
          </w:tcPr>
          <w:p w14:paraId="16727AD6"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Pedagog sa položenim stručnim ispitom</w:t>
            </w:r>
          </w:p>
        </w:tc>
        <w:tc>
          <w:tcPr>
            <w:tcW w:w="2404" w:type="dxa"/>
            <w:tcBorders>
              <w:top w:val="nil"/>
            </w:tcBorders>
            <w:shd w:val="clear" w:color="auto" w:fill="auto"/>
          </w:tcPr>
          <w:p w14:paraId="40DF21DC"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1,599</w:t>
            </w:r>
          </w:p>
        </w:tc>
      </w:tr>
      <w:tr w:rsidR="004B19B9" w:rsidRPr="00363F9C" w14:paraId="490541D0" w14:textId="77777777" w:rsidTr="00895948">
        <w:tc>
          <w:tcPr>
            <w:tcW w:w="6657" w:type="dxa"/>
            <w:shd w:val="clear" w:color="auto" w:fill="auto"/>
          </w:tcPr>
          <w:p w14:paraId="0EF8DC52"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Odgojitelj bez položenog stručnog ispita</w:t>
            </w:r>
          </w:p>
        </w:tc>
        <w:tc>
          <w:tcPr>
            <w:tcW w:w="2404" w:type="dxa"/>
            <w:shd w:val="clear" w:color="auto" w:fill="auto"/>
          </w:tcPr>
          <w:p w14:paraId="7C28EC7C"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1,187</w:t>
            </w:r>
          </w:p>
        </w:tc>
      </w:tr>
      <w:tr w:rsidR="004B19B9" w:rsidRPr="00363F9C" w14:paraId="295FB1F9" w14:textId="77777777" w:rsidTr="00895948">
        <w:tc>
          <w:tcPr>
            <w:tcW w:w="6657" w:type="dxa"/>
            <w:shd w:val="clear" w:color="auto" w:fill="auto"/>
          </w:tcPr>
          <w:p w14:paraId="69BAB0A3"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Odgojitelj sa položenim stručnim ispitom</w:t>
            </w:r>
          </w:p>
        </w:tc>
        <w:tc>
          <w:tcPr>
            <w:tcW w:w="2404" w:type="dxa"/>
            <w:shd w:val="clear" w:color="auto" w:fill="auto"/>
          </w:tcPr>
          <w:p w14:paraId="3A174285"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1,490</w:t>
            </w:r>
          </w:p>
        </w:tc>
      </w:tr>
      <w:tr w:rsidR="004B19B9" w:rsidRPr="00363F9C" w14:paraId="134F9A96" w14:textId="77777777" w:rsidTr="00895948">
        <w:tc>
          <w:tcPr>
            <w:tcW w:w="6657" w:type="dxa"/>
            <w:shd w:val="clear" w:color="auto" w:fill="auto"/>
          </w:tcPr>
          <w:p w14:paraId="573B6623"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 xml:space="preserve">Zdravstveni voditelj </w:t>
            </w:r>
          </w:p>
        </w:tc>
        <w:tc>
          <w:tcPr>
            <w:tcW w:w="2404" w:type="dxa"/>
            <w:shd w:val="clear" w:color="auto" w:fill="auto"/>
          </w:tcPr>
          <w:p w14:paraId="1CCA2DE6"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1,490</w:t>
            </w:r>
          </w:p>
        </w:tc>
      </w:tr>
      <w:tr w:rsidR="004B19B9" w:rsidRPr="00363F9C" w14:paraId="69335CF0" w14:textId="77777777" w:rsidTr="00895948">
        <w:tc>
          <w:tcPr>
            <w:tcW w:w="6657" w:type="dxa"/>
            <w:shd w:val="clear" w:color="auto" w:fill="auto"/>
          </w:tcPr>
          <w:p w14:paraId="6FEA31A6"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Voditelj računovodstva</w:t>
            </w:r>
          </w:p>
        </w:tc>
        <w:tc>
          <w:tcPr>
            <w:tcW w:w="2404" w:type="dxa"/>
            <w:shd w:val="clear" w:color="auto" w:fill="auto"/>
          </w:tcPr>
          <w:p w14:paraId="067FA040"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1,507</w:t>
            </w:r>
          </w:p>
        </w:tc>
      </w:tr>
      <w:tr w:rsidR="004B19B9" w:rsidRPr="00363F9C" w14:paraId="6003FBFF" w14:textId="77777777" w:rsidTr="00895948">
        <w:tc>
          <w:tcPr>
            <w:tcW w:w="6657" w:type="dxa"/>
            <w:shd w:val="clear" w:color="auto" w:fill="auto"/>
          </w:tcPr>
          <w:p w14:paraId="72814B09"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Kuhar</w:t>
            </w:r>
          </w:p>
        </w:tc>
        <w:tc>
          <w:tcPr>
            <w:tcW w:w="2404" w:type="dxa"/>
            <w:shd w:val="clear" w:color="auto" w:fill="auto"/>
          </w:tcPr>
          <w:p w14:paraId="65288F07"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0,994</w:t>
            </w:r>
          </w:p>
        </w:tc>
      </w:tr>
      <w:tr w:rsidR="004B19B9" w:rsidRPr="00363F9C" w14:paraId="6F93C831" w14:textId="77777777" w:rsidTr="00895948">
        <w:tc>
          <w:tcPr>
            <w:tcW w:w="6657" w:type="dxa"/>
            <w:shd w:val="clear" w:color="auto" w:fill="auto"/>
          </w:tcPr>
          <w:p w14:paraId="13E75A87"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Spremač</w:t>
            </w:r>
          </w:p>
        </w:tc>
        <w:tc>
          <w:tcPr>
            <w:tcW w:w="2404" w:type="dxa"/>
            <w:shd w:val="clear" w:color="auto" w:fill="auto"/>
          </w:tcPr>
          <w:p w14:paraId="2D88AE4F"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0,973</w:t>
            </w:r>
          </w:p>
        </w:tc>
      </w:tr>
      <w:tr w:rsidR="004B19B9" w:rsidRPr="00363F9C" w14:paraId="54328A0B" w14:textId="77777777" w:rsidTr="00895948">
        <w:tc>
          <w:tcPr>
            <w:tcW w:w="6657" w:type="dxa"/>
            <w:shd w:val="clear" w:color="auto" w:fill="auto"/>
          </w:tcPr>
          <w:p w14:paraId="1373E22F"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Pomoćni kuhar</w:t>
            </w:r>
          </w:p>
        </w:tc>
        <w:tc>
          <w:tcPr>
            <w:tcW w:w="2404" w:type="dxa"/>
            <w:shd w:val="clear" w:color="auto" w:fill="auto"/>
          </w:tcPr>
          <w:p w14:paraId="5FB8EB95"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0,900</w:t>
            </w:r>
          </w:p>
        </w:tc>
      </w:tr>
      <w:tr w:rsidR="004B19B9" w:rsidRPr="00363F9C" w14:paraId="49138489" w14:textId="77777777" w:rsidTr="00895948">
        <w:tc>
          <w:tcPr>
            <w:tcW w:w="6657" w:type="dxa"/>
            <w:tcBorders>
              <w:top w:val="nil"/>
            </w:tcBorders>
            <w:shd w:val="clear" w:color="auto" w:fill="auto"/>
          </w:tcPr>
          <w:p w14:paraId="31E6BCCF"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Pomoćni radnik za njegu, skrb i pratnju</w:t>
            </w:r>
          </w:p>
        </w:tc>
        <w:tc>
          <w:tcPr>
            <w:tcW w:w="2404" w:type="dxa"/>
            <w:tcBorders>
              <w:top w:val="nil"/>
            </w:tcBorders>
            <w:shd w:val="clear" w:color="auto" w:fill="auto"/>
          </w:tcPr>
          <w:p w14:paraId="7BE631DA" w14:textId="77777777" w:rsidR="004B19B9" w:rsidRPr="00363F9C" w:rsidRDefault="004B19B9" w:rsidP="00895948">
            <w:pPr>
              <w:jc w:val="both"/>
              <w:rPr>
                <w:rFonts w:ascii="Garamond" w:hAnsi="Garamond" w:cs="Times New Roman"/>
                <w:sz w:val="24"/>
                <w:szCs w:val="24"/>
              </w:rPr>
            </w:pPr>
            <w:r w:rsidRPr="00363F9C">
              <w:rPr>
                <w:rFonts w:ascii="Garamond" w:hAnsi="Garamond" w:cs="Times New Roman"/>
                <w:sz w:val="24"/>
                <w:szCs w:val="24"/>
              </w:rPr>
              <w:t>0,973</w:t>
            </w:r>
          </w:p>
        </w:tc>
      </w:tr>
    </w:tbl>
    <w:p w14:paraId="0CD05DDB" w14:textId="77777777" w:rsidR="004B19B9" w:rsidRPr="00363F9C" w:rsidRDefault="004B19B9" w:rsidP="004B19B9">
      <w:pPr>
        <w:jc w:val="both"/>
        <w:rPr>
          <w:rFonts w:ascii="Garamond" w:hAnsi="Garamond" w:cs="Times New Roman"/>
          <w:sz w:val="24"/>
          <w:szCs w:val="24"/>
        </w:rPr>
      </w:pPr>
    </w:p>
    <w:p w14:paraId="30AD451E" w14:textId="77777777" w:rsidR="004B19B9" w:rsidRPr="00363F9C" w:rsidRDefault="004B19B9" w:rsidP="004B19B9">
      <w:pPr>
        <w:jc w:val="center"/>
        <w:rPr>
          <w:rFonts w:ascii="Garamond" w:hAnsi="Garamond" w:cs="Times New Roman"/>
          <w:b/>
          <w:bCs/>
          <w:sz w:val="24"/>
          <w:szCs w:val="24"/>
        </w:rPr>
      </w:pPr>
    </w:p>
    <w:p w14:paraId="02417056"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VI.</w:t>
      </w:r>
    </w:p>
    <w:p w14:paraId="237F3DF4"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Osnovica za obračun plaće djelatnika zaposlenih u Dječjem vrtiću Vlakić Martijanec utvrđuje se posebnom Odlukom Općinskog vijeća Općine Martijanec.</w:t>
      </w:r>
    </w:p>
    <w:p w14:paraId="637881A6"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VII.</w:t>
      </w:r>
    </w:p>
    <w:p w14:paraId="21129D24"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Sukladno članku 61. stavku 3. Zakona o radu, radnik koji radi u punom radnom vremenu (do najviše 40 sati tjedno) može sklopiti Ugovor o dodatnom radu s drugim poslodavcem u najdužem trajanju do 8 (riječima: osam) sati tjedno.</w:t>
      </w:r>
    </w:p>
    <w:p w14:paraId="62232DC4"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VIII.</w:t>
      </w:r>
    </w:p>
    <w:p w14:paraId="7A9FA12D" w14:textId="77777777" w:rsidR="004B19B9" w:rsidRPr="00363F9C" w:rsidRDefault="004B19B9" w:rsidP="004B19B9">
      <w:pPr>
        <w:jc w:val="both"/>
        <w:rPr>
          <w:rFonts w:ascii="Garamond" w:hAnsi="Garamond" w:cs="Times New Roman"/>
          <w:sz w:val="24"/>
          <w:szCs w:val="24"/>
        </w:rPr>
      </w:pPr>
      <w:r w:rsidRPr="00363F9C">
        <w:rPr>
          <w:rFonts w:ascii="Garamond" w:hAnsi="Garamond" w:cs="Times New Roman"/>
          <w:sz w:val="24"/>
          <w:szCs w:val="24"/>
        </w:rPr>
        <w:t>Ukoliko Vrtić sklapa Ugovor o dodatnom radu za pojedino radno mjesto navedeno u članku 5. ove Odluke, izuzima se obračun plaće po osnovi koeficijenata i utvrđuje se satnica u neto iznosu za pojedino radno mjesto.</w:t>
      </w:r>
    </w:p>
    <w:p w14:paraId="58F7278B"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IX.</w:t>
      </w:r>
    </w:p>
    <w:p w14:paraId="1CB4E46D" w14:textId="77777777" w:rsidR="004B19B9" w:rsidRPr="00363F9C" w:rsidRDefault="004B19B9" w:rsidP="004B19B9">
      <w:pPr>
        <w:spacing w:after="0" w:line="276" w:lineRule="auto"/>
        <w:jc w:val="both"/>
        <w:rPr>
          <w:rFonts w:ascii="Garamond" w:eastAsiaTheme="minorEastAsia" w:hAnsi="Garamond" w:cs="Times New Roman"/>
          <w:bCs/>
          <w:sz w:val="24"/>
          <w:szCs w:val="24"/>
          <w:lang w:eastAsia="hr-HR"/>
        </w:rPr>
      </w:pPr>
      <w:r w:rsidRPr="00363F9C">
        <w:rPr>
          <w:rFonts w:ascii="Garamond" w:eastAsiaTheme="minorEastAsia" w:hAnsi="Garamond" w:cs="Times New Roman"/>
          <w:bCs/>
          <w:sz w:val="24"/>
          <w:szCs w:val="24"/>
          <w:lang w:eastAsia="hr-HR"/>
        </w:rPr>
        <w:t>Za djelatnike zaposlene u Dječjem vrtiću Vlakić Martijanec po osnovi Ugovora o dodatnom radu utvrđuje se sljedeća satnica:</w:t>
      </w:r>
    </w:p>
    <w:tbl>
      <w:tblPr>
        <w:tblStyle w:val="Reetkatablice"/>
        <w:tblW w:w="9067" w:type="dxa"/>
        <w:tblLook w:val="04A0" w:firstRow="1" w:lastRow="0" w:firstColumn="1" w:lastColumn="0" w:noHBand="0" w:noVBand="1"/>
      </w:tblPr>
      <w:tblGrid>
        <w:gridCol w:w="5665"/>
        <w:gridCol w:w="3402"/>
      </w:tblGrid>
      <w:tr w:rsidR="004B19B9" w:rsidRPr="00363F9C" w14:paraId="4181084A" w14:textId="77777777" w:rsidTr="00895948">
        <w:tc>
          <w:tcPr>
            <w:tcW w:w="5664" w:type="dxa"/>
            <w:shd w:val="clear" w:color="auto" w:fill="auto"/>
          </w:tcPr>
          <w:p w14:paraId="62ABF6C6" w14:textId="77777777" w:rsidR="004B19B9" w:rsidRPr="00363F9C" w:rsidRDefault="004B19B9" w:rsidP="00895948">
            <w:pPr>
              <w:spacing w:line="276" w:lineRule="auto"/>
              <w:jc w:val="both"/>
              <w:rPr>
                <w:rFonts w:ascii="Garamond" w:eastAsiaTheme="minorEastAsia" w:hAnsi="Garamond" w:cs="Times New Roman"/>
                <w:b/>
                <w:sz w:val="24"/>
                <w:szCs w:val="24"/>
                <w:lang w:eastAsia="hr-HR"/>
              </w:rPr>
            </w:pPr>
            <w:r w:rsidRPr="00363F9C">
              <w:rPr>
                <w:rFonts w:ascii="Garamond" w:eastAsiaTheme="minorEastAsia" w:hAnsi="Garamond" w:cs="Times New Roman"/>
                <w:b/>
                <w:sz w:val="24"/>
                <w:szCs w:val="24"/>
                <w:lang w:eastAsia="hr-HR"/>
              </w:rPr>
              <w:t>Naziv radnog mjesta</w:t>
            </w:r>
          </w:p>
        </w:tc>
        <w:tc>
          <w:tcPr>
            <w:tcW w:w="3402" w:type="dxa"/>
            <w:shd w:val="clear" w:color="auto" w:fill="auto"/>
          </w:tcPr>
          <w:p w14:paraId="7A26E736" w14:textId="77777777" w:rsidR="004B19B9" w:rsidRPr="00363F9C" w:rsidRDefault="004B19B9" w:rsidP="00895948">
            <w:pPr>
              <w:spacing w:line="276" w:lineRule="auto"/>
              <w:jc w:val="both"/>
              <w:rPr>
                <w:rFonts w:ascii="Garamond" w:eastAsiaTheme="minorEastAsia" w:hAnsi="Garamond" w:cs="Times New Roman"/>
                <w:b/>
                <w:sz w:val="24"/>
                <w:szCs w:val="24"/>
                <w:lang w:eastAsia="hr-HR"/>
              </w:rPr>
            </w:pPr>
            <w:r w:rsidRPr="00363F9C">
              <w:rPr>
                <w:rFonts w:ascii="Garamond" w:eastAsiaTheme="minorEastAsia" w:hAnsi="Garamond" w:cs="Times New Roman"/>
                <w:b/>
                <w:sz w:val="24"/>
                <w:szCs w:val="24"/>
                <w:lang w:eastAsia="hr-HR"/>
              </w:rPr>
              <w:t>Satnica – NETO (EUR)</w:t>
            </w:r>
          </w:p>
        </w:tc>
      </w:tr>
      <w:tr w:rsidR="004B19B9" w:rsidRPr="00363F9C" w14:paraId="03BF3882" w14:textId="77777777" w:rsidTr="00895948">
        <w:tc>
          <w:tcPr>
            <w:tcW w:w="5664" w:type="dxa"/>
            <w:shd w:val="clear" w:color="auto" w:fill="auto"/>
          </w:tcPr>
          <w:p w14:paraId="0E27DA86" w14:textId="77777777" w:rsidR="004B19B9" w:rsidRPr="00363F9C" w:rsidRDefault="004B19B9" w:rsidP="00895948">
            <w:pPr>
              <w:spacing w:line="276" w:lineRule="auto"/>
              <w:jc w:val="both"/>
              <w:rPr>
                <w:rFonts w:ascii="Garamond" w:eastAsiaTheme="minorEastAsia" w:hAnsi="Garamond" w:cs="Times New Roman"/>
                <w:bCs/>
                <w:sz w:val="24"/>
                <w:szCs w:val="24"/>
                <w:lang w:eastAsia="hr-HR"/>
              </w:rPr>
            </w:pPr>
            <w:r w:rsidRPr="00363F9C">
              <w:rPr>
                <w:rFonts w:ascii="Garamond" w:eastAsiaTheme="minorEastAsia" w:hAnsi="Garamond" w:cs="Times New Roman"/>
                <w:bCs/>
                <w:sz w:val="24"/>
                <w:szCs w:val="24"/>
                <w:lang w:eastAsia="hr-HR"/>
              </w:rPr>
              <w:t>Zdravstveni voditelj</w:t>
            </w:r>
          </w:p>
        </w:tc>
        <w:tc>
          <w:tcPr>
            <w:tcW w:w="3402" w:type="dxa"/>
            <w:shd w:val="clear" w:color="auto" w:fill="auto"/>
          </w:tcPr>
          <w:p w14:paraId="29F6FFC7" w14:textId="77777777" w:rsidR="004B19B9" w:rsidRPr="00363F9C" w:rsidRDefault="004B19B9" w:rsidP="00895948">
            <w:pPr>
              <w:spacing w:line="276" w:lineRule="auto"/>
              <w:jc w:val="both"/>
              <w:rPr>
                <w:rFonts w:ascii="Garamond" w:eastAsiaTheme="minorEastAsia" w:hAnsi="Garamond" w:cs="Times New Roman"/>
                <w:bCs/>
                <w:sz w:val="24"/>
                <w:szCs w:val="24"/>
                <w:lang w:eastAsia="hr-HR"/>
              </w:rPr>
            </w:pPr>
            <w:r w:rsidRPr="00363F9C">
              <w:rPr>
                <w:rFonts w:ascii="Garamond" w:eastAsiaTheme="minorEastAsia" w:hAnsi="Garamond" w:cs="Times New Roman"/>
                <w:bCs/>
                <w:sz w:val="24"/>
                <w:szCs w:val="24"/>
                <w:lang w:eastAsia="hr-HR"/>
              </w:rPr>
              <w:t>13,50</w:t>
            </w:r>
          </w:p>
        </w:tc>
      </w:tr>
      <w:tr w:rsidR="004B19B9" w:rsidRPr="00363F9C" w14:paraId="4BBBBA07" w14:textId="77777777" w:rsidTr="00895948">
        <w:tc>
          <w:tcPr>
            <w:tcW w:w="5664" w:type="dxa"/>
            <w:shd w:val="clear" w:color="auto" w:fill="auto"/>
          </w:tcPr>
          <w:p w14:paraId="59E78414" w14:textId="77777777" w:rsidR="004B19B9" w:rsidRPr="00363F9C" w:rsidRDefault="004B19B9" w:rsidP="00895948">
            <w:pPr>
              <w:spacing w:line="276" w:lineRule="auto"/>
              <w:jc w:val="both"/>
              <w:rPr>
                <w:rFonts w:ascii="Garamond" w:eastAsiaTheme="minorEastAsia" w:hAnsi="Garamond" w:cs="Times New Roman"/>
                <w:bCs/>
                <w:sz w:val="24"/>
                <w:szCs w:val="24"/>
                <w:lang w:eastAsia="hr-HR"/>
              </w:rPr>
            </w:pPr>
            <w:r w:rsidRPr="00363F9C">
              <w:rPr>
                <w:rFonts w:ascii="Garamond" w:eastAsiaTheme="minorEastAsia" w:hAnsi="Garamond" w:cs="Times New Roman"/>
                <w:bCs/>
                <w:sz w:val="24"/>
                <w:szCs w:val="24"/>
                <w:lang w:eastAsia="hr-HR"/>
              </w:rPr>
              <w:t>Pedagog</w:t>
            </w:r>
          </w:p>
        </w:tc>
        <w:tc>
          <w:tcPr>
            <w:tcW w:w="3402" w:type="dxa"/>
            <w:shd w:val="clear" w:color="auto" w:fill="auto"/>
          </w:tcPr>
          <w:p w14:paraId="21C2DD97" w14:textId="77777777" w:rsidR="004B19B9" w:rsidRPr="00363F9C" w:rsidRDefault="004B19B9" w:rsidP="00895948">
            <w:pPr>
              <w:spacing w:line="276" w:lineRule="auto"/>
              <w:jc w:val="both"/>
              <w:rPr>
                <w:rFonts w:ascii="Garamond" w:eastAsiaTheme="minorEastAsia" w:hAnsi="Garamond" w:cs="Times New Roman"/>
                <w:bCs/>
                <w:sz w:val="24"/>
                <w:szCs w:val="24"/>
                <w:lang w:eastAsia="hr-HR"/>
              </w:rPr>
            </w:pPr>
            <w:r w:rsidRPr="00363F9C">
              <w:rPr>
                <w:rFonts w:ascii="Garamond" w:eastAsiaTheme="minorEastAsia" w:hAnsi="Garamond" w:cs="Times New Roman"/>
                <w:bCs/>
                <w:sz w:val="24"/>
                <w:szCs w:val="24"/>
                <w:lang w:eastAsia="hr-HR"/>
              </w:rPr>
              <w:t>24,00</w:t>
            </w:r>
          </w:p>
        </w:tc>
      </w:tr>
    </w:tbl>
    <w:p w14:paraId="7BDC8604" w14:textId="77777777" w:rsidR="004B19B9" w:rsidRPr="00363F9C" w:rsidRDefault="004B19B9" w:rsidP="004B19B9">
      <w:pPr>
        <w:jc w:val="both"/>
        <w:rPr>
          <w:rFonts w:ascii="Garamond" w:hAnsi="Garamond" w:cs="Times New Roman"/>
          <w:sz w:val="24"/>
          <w:szCs w:val="24"/>
        </w:rPr>
      </w:pPr>
    </w:p>
    <w:p w14:paraId="560E41BC" w14:textId="77777777"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X.</w:t>
      </w:r>
    </w:p>
    <w:p w14:paraId="189547CE" w14:textId="400E7ABA" w:rsidR="004B568E" w:rsidRPr="00363F9C" w:rsidRDefault="004B568E" w:rsidP="004B568E">
      <w:pPr>
        <w:rPr>
          <w:rFonts w:ascii="Garamond" w:hAnsi="Garamond" w:cs="Times New Roman"/>
          <w:sz w:val="24"/>
          <w:szCs w:val="24"/>
        </w:rPr>
      </w:pPr>
      <w:r w:rsidRPr="00363F9C">
        <w:rPr>
          <w:rFonts w:ascii="Garamond" w:hAnsi="Garamond" w:cs="Times New Roman"/>
          <w:sz w:val="24"/>
          <w:szCs w:val="24"/>
        </w:rPr>
        <w:t xml:space="preserve">Sa danom </w:t>
      </w:r>
      <w:r w:rsidR="00A7583D" w:rsidRPr="00363F9C">
        <w:rPr>
          <w:rFonts w:ascii="Garamond" w:hAnsi="Garamond" w:cs="Times New Roman"/>
          <w:sz w:val="24"/>
          <w:szCs w:val="24"/>
        </w:rPr>
        <w:t>stupanja na snage ove Odluke</w:t>
      </w:r>
      <w:r w:rsidRPr="00363F9C">
        <w:rPr>
          <w:rFonts w:ascii="Garamond" w:hAnsi="Garamond" w:cs="Times New Roman"/>
          <w:sz w:val="24"/>
          <w:szCs w:val="24"/>
        </w:rPr>
        <w:t xml:space="preserve"> prestaje važiti Odluka o davanju prethodne suglasnosti na odluku o načinu utvrđivanja plaća i visini koeficijenta za obračun plaća djelatnika Dječjeg vrtića Vlakić Martijanec (</w:t>
      </w:r>
      <w:r w:rsidR="00596F83" w:rsidRPr="00363F9C">
        <w:rPr>
          <w:rFonts w:ascii="Garamond" w:hAnsi="Garamond" w:cs="Times New Roman"/>
          <w:sz w:val="24"/>
          <w:szCs w:val="24"/>
        </w:rPr>
        <w:t>„</w:t>
      </w:r>
      <w:r w:rsidRPr="00363F9C">
        <w:rPr>
          <w:rFonts w:ascii="Garamond" w:hAnsi="Garamond" w:cs="Times New Roman"/>
          <w:sz w:val="24"/>
          <w:szCs w:val="24"/>
        </w:rPr>
        <w:t xml:space="preserve">Službeni </w:t>
      </w:r>
      <w:r w:rsidR="00B425DA" w:rsidRPr="00363F9C">
        <w:rPr>
          <w:rFonts w:ascii="Garamond" w:hAnsi="Garamond" w:cs="Times New Roman"/>
          <w:sz w:val="24"/>
          <w:szCs w:val="24"/>
        </w:rPr>
        <w:t>vjesnik Varaždinske županije</w:t>
      </w:r>
      <w:r w:rsidR="00596F83" w:rsidRPr="00363F9C">
        <w:rPr>
          <w:rFonts w:ascii="Garamond" w:hAnsi="Garamond" w:cs="Times New Roman"/>
          <w:sz w:val="24"/>
          <w:szCs w:val="24"/>
        </w:rPr>
        <w:t>“</w:t>
      </w:r>
      <w:r w:rsidR="00B425DA" w:rsidRPr="00363F9C">
        <w:rPr>
          <w:rFonts w:ascii="Garamond" w:hAnsi="Garamond" w:cs="Times New Roman"/>
          <w:sz w:val="24"/>
          <w:szCs w:val="24"/>
        </w:rPr>
        <w:t xml:space="preserve"> broj 117/2022).</w:t>
      </w:r>
    </w:p>
    <w:p w14:paraId="7BFCB3EB" w14:textId="31F07AE9" w:rsidR="004B19B9" w:rsidRPr="00363F9C" w:rsidRDefault="004B19B9" w:rsidP="004B19B9">
      <w:pPr>
        <w:jc w:val="both"/>
        <w:rPr>
          <w:rFonts w:ascii="Garamond" w:hAnsi="Garamond" w:cs="Times New Roman"/>
          <w:sz w:val="24"/>
          <w:szCs w:val="24"/>
        </w:rPr>
      </w:pPr>
    </w:p>
    <w:p w14:paraId="288F2A6B" w14:textId="73626F84" w:rsidR="004B19B9" w:rsidRPr="00363F9C" w:rsidRDefault="004B19B9" w:rsidP="004B19B9">
      <w:pPr>
        <w:jc w:val="center"/>
        <w:rPr>
          <w:rFonts w:ascii="Garamond" w:hAnsi="Garamond" w:cs="Times New Roman"/>
          <w:b/>
          <w:bCs/>
          <w:sz w:val="24"/>
          <w:szCs w:val="24"/>
        </w:rPr>
      </w:pPr>
      <w:r w:rsidRPr="00363F9C">
        <w:rPr>
          <w:rFonts w:ascii="Garamond" w:hAnsi="Garamond" w:cs="Times New Roman"/>
          <w:b/>
          <w:bCs/>
          <w:sz w:val="24"/>
          <w:szCs w:val="24"/>
        </w:rPr>
        <w:t>XI.</w:t>
      </w:r>
    </w:p>
    <w:p w14:paraId="269CBECE" w14:textId="00809CBA" w:rsidR="004B19B9" w:rsidRPr="00363F9C" w:rsidRDefault="004B19B9" w:rsidP="004B19B9">
      <w:pPr>
        <w:ind w:right="284"/>
        <w:jc w:val="both"/>
        <w:rPr>
          <w:rFonts w:ascii="Garamond" w:hAnsi="Garamond"/>
          <w:sz w:val="24"/>
          <w:szCs w:val="24"/>
        </w:rPr>
      </w:pPr>
      <w:r w:rsidRPr="00363F9C">
        <w:rPr>
          <w:rFonts w:ascii="Garamond" w:eastAsia="Times New Roman" w:hAnsi="Garamond" w:cs="Times New Roman"/>
          <w:bCs/>
          <w:sz w:val="24"/>
          <w:szCs w:val="24"/>
          <w:lang w:eastAsia="hr-HR"/>
        </w:rPr>
        <w:t>Ova Odluka</w:t>
      </w:r>
      <w:r w:rsidRPr="00363F9C">
        <w:rPr>
          <w:rFonts w:ascii="Garamond" w:hAnsi="Garamond"/>
          <w:sz w:val="24"/>
          <w:szCs w:val="24"/>
        </w:rPr>
        <w:t xml:space="preserve"> bit će objavljena u „Službenom vjesniku Općine Martijanec“, a stupa na snagu osmog dana od dana objave.</w:t>
      </w:r>
    </w:p>
    <w:p w14:paraId="175B2204" w14:textId="6650B2AF" w:rsidR="004B19B9" w:rsidRPr="00363F9C" w:rsidRDefault="004B19B9" w:rsidP="004B19B9">
      <w:pPr>
        <w:spacing w:after="0" w:line="240" w:lineRule="auto"/>
        <w:jc w:val="both"/>
        <w:rPr>
          <w:rFonts w:ascii="Garamond" w:eastAsia="Times New Roman" w:hAnsi="Garamond" w:cs="Times New Roman"/>
          <w:bCs/>
          <w:sz w:val="24"/>
          <w:szCs w:val="24"/>
          <w:lang w:eastAsia="hr-HR"/>
        </w:rPr>
      </w:pPr>
    </w:p>
    <w:p w14:paraId="1E34B072" w14:textId="77777777" w:rsidR="004B19B9" w:rsidRPr="00363F9C" w:rsidRDefault="004B19B9" w:rsidP="004B19B9">
      <w:pPr>
        <w:jc w:val="both"/>
        <w:rPr>
          <w:rFonts w:ascii="Garamond" w:hAnsi="Garamond" w:cs="Times New Roman"/>
          <w:sz w:val="24"/>
          <w:szCs w:val="24"/>
        </w:rPr>
      </w:pPr>
    </w:p>
    <w:p w14:paraId="6661D9B5" w14:textId="4160E66B" w:rsidR="004B19B9" w:rsidRPr="00363F9C" w:rsidRDefault="004B19B9" w:rsidP="004B19B9">
      <w:pPr>
        <w:pStyle w:val="Tijeloteksta"/>
        <w:spacing w:after="0"/>
        <w:jc w:val="both"/>
        <w:rPr>
          <w:rFonts w:ascii="Garamond" w:hAnsi="Garamond" w:cs="Times New Roman"/>
          <w:sz w:val="24"/>
          <w:szCs w:val="24"/>
        </w:rPr>
      </w:pPr>
      <w:r w:rsidRPr="00363F9C">
        <w:rPr>
          <w:rFonts w:ascii="Garamond" w:hAnsi="Garamond" w:cs="Times New Roman"/>
          <w:sz w:val="24"/>
          <w:szCs w:val="24"/>
        </w:rPr>
        <w:t>KLASA: 601-</w:t>
      </w:r>
      <w:r w:rsidR="004B568E" w:rsidRPr="00363F9C">
        <w:rPr>
          <w:rFonts w:ascii="Garamond" w:hAnsi="Garamond" w:cs="Times New Roman"/>
          <w:sz w:val="24"/>
          <w:szCs w:val="24"/>
        </w:rPr>
        <w:t>0</w:t>
      </w:r>
      <w:r w:rsidRPr="00363F9C">
        <w:rPr>
          <w:rFonts w:ascii="Garamond" w:hAnsi="Garamond" w:cs="Times New Roman"/>
          <w:sz w:val="24"/>
          <w:szCs w:val="24"/>
        </w:rPr>
        <w:t>3/23-01/</w:t>
      </w:r>
      <w:r w:rsidR="004B568E" w:rsidRPr="00363F9C">
        <w:rPr>
          <w:rFonts w:ascii="Garamond" w:hAnsi="Garamond" w:cs="Times New Roman"/>
          <w:sz w:val="24"/>
          <w:szCs w:val="24"/>
        </w:rPr>
        <w:t>3</w:t>
      </w:r>
    </w:p>
    <w:p w14:paraId="52E9DBDB" w14:textId="546B3FFD" w:rsidR="004B19B9" w:rsidRPr="00363F9C" w:rsidRDefault="004B19B9" w:rsidP="004B19B9">
      <w:pPr>
        <w:pStyle w:val="Tijeloteksta"/>
        <w:spacing w:after="0"/>
        <w:jc w:val="both"/>
        <w:rPr>
          <w:rFonts w:ascii="Garamond" w:hAnsi="Garamond" w:cs="Times New Roman"/>
          <w:sz w:val="24"/>
          <w:szCs w:val="24"/>
        </w:rPr>
      </w:pPr>
      <w:r w:rsidRPr="00363F9C">
        <w:rPr>
          <w:rFonts w:ascii="Garamond" w:hAnsi="Garamond" w:cs="Times New Roman"/>
          <w:sz w:val="24"/>
          <w:szCs w:val="24"/>
        </w:rPr>
        <w:t>URBROJ: 2186-</w:t>
      </w:r>
      <w:r w:rsidR="004B568E" w:rsidRPr="00363F9C">
        <w:rPr>
          <w:rFonts w:ascii="Garamond" w:hAnsi="Garamond" w:cs="Times New Roman"/>
          <w:sz w:val="24"/>
          <w:szCs w:val="24"/>
        </w:rPr>
        <w:t>19-02-23-1</w:t>
      </w:r>
    </w:p>
    <w:p w14:paraId="70A437FF" w14:textId="68ECA0AA" w:rsidR="004B19B9" w:rsidRPr="00363F9C" w:rsidRDefault="004B19B9" w:rsidP="004B19B9">
      <w:pPr>
        <w:pStyle w:val="Tijeloteksta"/>
        <w:spacing w:after="0"/>
        <w:jc w:val="both"/>
        <w:rPr>
          <w:rFonts w:ascii="Garamond" w:hAnsi="Garamond" w:cs="Times New Roman"/>
          <w:sz w:val="24"/>
          <w:szCs w:val="24"/>
        </w:rPr>
      </w:pPr>
      <w:r w:rsidRPr="00363F9C">
        <w:rPr>
          <w:rFonts w:ascii="Garamond" w:hAnsi="Garamond" w:cs="Times New Roman"/>
          <w:sz w:val="24"/>
          <w:szCs w:val="24"/>
        </w:rPr>
        <w:t xml:space="preserve">Martijanec, </w:t>
      </w:r>
      <w:r w:rsidR="00A7583D" w:rsidRPr="00363F9C">
        <w:rPr>
          <w:rFonts w:ascii="Garamond" w:hAnsi="Garamond" w:cs="Times New Roman"/>
          <w:sz w:val="24"/>
          <w:szCs w:val="24"/>
        </w:rPr>
        <w:t>10</w:t>
      </w:r>
      <w:r w:rsidRPr="00363F9C">
        <w:rPr>
          <w:rFonts w:ascii="Garamond" w:hAnsi="Garamond" w:cs="Times New Roman"/>
          <w:sz w:val="24"/>
          <w:szCs w:val="24"/>
        </w:rPr>
        <w:t>. srpnja 2023. godine</w:t>
      </w:r>
    </w:p>
    <w:p w14:paraId="670530DD" w14:textId="77777777" w:rsidR="004B19B9" w:rsidRPr="00363F9C" w:rsidRDefault="004B19B9" w:rsidP="004B19B9">
      <w:pPr>
        <w:pStyle w:val="Tijeloteksta"/>
        <w:spacing w:after="0"/>
        <w:jc w:val="both"/>
        <w:rPr>
          <w:rFonts w:ascii="Garamond" w:hAnsi="Garamond" w:cs="Times New Roman"/>
          <w:sz w:val="24"/>
          <w:szCs w:val="24"/>
        </w:rPr>
      </w:pPr>
    </w:p>
    <w:p w14:paraId="257237AD" w14:textId="2FA7140A" w:rsidR="00363F9C" w:rsidRPr="00363F9C" w:rsidRDefault="00363F9C" w:rsidP="00363F9C">
      <w:pPr>
        <w:spacing w:after="0" w:line="240" w:lineRule="auto"/>
        <w:jc w:val="both"/>
        <w:rPr>
          <w:rFonts w:ascii="Garamond" w:eastAsia="Calibri" w:hAnsi="Garamond" w:cs="Times New Roman"/>
          <w:b/>
          <w:sz w:val="24"/>
          <w:szCs w:val="24"/>
        </w:rPr>
      </w:pPr>
      <w:r w:rsidRPr="00363F9C">
        <w:rPr>
          <w:rFonts w:ascii="Garamond" w:hAnsi="Garamond" w:cs="Arial"/>
          <w:color w:val="000000"/>
          <w:sz w:val="24"/>
          <w:szCs w:val="24"/>
        </w:rPr>
        <w:t xml:space="preserve">                                                                                              </w:t>
      </w:r>
      <w:r w:rsidRPr="00363F9C">
        <w:rPr>
          <w:rFonts w:ascii="Garamond" w:eastAsia="Calibri" w:hAnsi="Garamond" w:cs="Times New Roman"/>
          <w:b/>
          <w:sz w:val="24"/>
          <w:szCs w:val="24"/>
        </w:rPr>
        <w:t>Predsjednik Općinskog vijeća</w:t>
      </w:r>
    </w:p>
    <w:p w14:paraId="29CEA31E" w14:textId="77777777" w:rsidR="00363F9C" w:rsidRPr="00363F9C" w:rsidRDefault="00363F9C" w:rsidP="00363F9C">
      <w:pPr>
        <w:spacing w:after="0" w:line="240" w:lineRule="auto"/>
        <w:jc w:val="both"/>
        <w:rPr>
          <w:rFonts w:ascii="Garamond" w:eastAsia="Calibri" w:hAnsi="Garamond" w:cs="Times New Roman"/>
          <w:sz w:val="24"/>
          <w:szCs w:val="24"/>
        </w:rPr>
      </w:pPr>
      <w:r w:rsidRPr="00363F9C">
        <w:rPr>
          <w:rFonts w:ascii="Garamond" w:eastAsia="Calibri" w:hAnsi="Garamond" w:cs="Times New Roman"/>
          <w:sz w:val="24"/>
          <w:szCs w:val="24"/>
        </w:rPr>
        <w:t xml:space="preserve">                                                                                                         Stjepan Golubić, ing.</w:t>
      </w:r>
    </w:p>
    <w:p w14:paraId="7A1D6DFE" w14:textId="7754835F" w:rsidR="004B19B9" w:rsidRPr="00363F9C" w:rsidRDefault="004B19B9" w:rsidP="004B19B9">
      <w:pPr>
        <w:spacing w:after="0" w:line="240" w:lineRule="auto"/>
        <w:ind w:left="4248" w:firstLine="708"/>
        <w:rPr>
          <w:rFonts w:ascii="Garamond" w:hAnsi="Garamond" w:cs="Arial"/>
          <w:color w:val="000000"/>
          <w:sz w:val="24"/>
          <w:szCs w:val="24"/>
        </w:rPr>
      </w:pPr>
    </w:p>
    <w:p w14:paraId="7D455A0B" w14:textId="77777777" w:rsidR="004B19B9" w:rsidRPr="00363F9C" w:rsidRDefault="004B19B9" w:rsidP="004B19B9">
      <w:pPr>
        <w:spacing w:after="0" w:line="240" w:lineRule="auto"/>
        <w:ind w:firstLine="708"/>
        <w:jc w:val="right"/>
        <w:rPr>
          <w:rFonts w:ascii="Garamond" w:eastAsia="Calibri" w:hAnsi="Garamond" w:cs="Times New Roman"/>
          <w:sz w:val="24"/>
          <w:szCs w:val="24"/>
        </w:rPr>
      </w:pPr>
      <w:r w:rsidRPr="00363F9C">
        <w:rPr>
          <w:rFonts w:ascii="Garamond" w:eastAsia="Calibri" w:hAnsi="Garamond" w:cs="Times New Roman"/>
          <w:b/>
          <w:sz w:val="24"/>
          <w:szCs w:val="24"/>
        </w:rPr>
        <w:t xml:space="preserve">                                                                                </w:t>
      </w:r>
    </w:p>
    <w:p w14:paraId="689C5559" w14:textId="77777777" w:rsidR="004B19B9" w:rsidRPr="00363F9C" w:rsidRDefault="004B19B9" w:rsidP="004B19B9">
      <w:pPr>
        <w:jc w:val="both"/>
        <w:rPr>
          <w:rFonts w:ascii="Garamond" w:hAnsi="Garamond"/>
          <w:sz w:val="24"/>
          <w:szCs w:val="24"/>
        </w:rPr>
      </w:pPr>
    </w:p>
    <w:p w14:paraId="440CD21A" w14:textId="77777777" w:rsidR="00B425DA" w:rsidRPr="00363F9C" w:rsidRDefault="00B425DA" w:rsidP="00B425DA">
      <w:pPr>
        <w:spacing w:after="0" w:line="276" w:lineRule="auto"/>
        <w:jc w:val="center"/>
        <w:rPr>
          <w:rFonts w:ascii="Garamond" w:eastAsia="Calibri" w:hAnsi="Garamond" w:cs="Times New Roman"/>
          <w:b/>
          <w:sz w:val="24"/>
          <w:szCs w:val="24"/>
          <w:lang w:eastAsia="sl-SI"/>
        </w:rPr>
      </w:pPr>
      <w:r w:rsidRPr="00363F9C">
        <w:rPr>
          <w:rFonts w:ascii="Garamond" w:eastAsia="Calibri" w:hAnsi="Garamond" w:cs="Times New Roman"/>
          <w:b/>
          <w:sz w:val="24"/>
          <w:szCs w:val="24"/>
          <w:lang w:eastAsia="sl-SI"/>
        </w:rPr>
        <w:lastRenderedPageBreak/>
        <w:t>OBRAZLOŽENJE UZ PRIJEDLOG ODLUKE</w:t>
      </w:r>
    </w:p>
    <w:p w14:paraId="3AE518F2" w14:textId="3E6CBFAD" w:rsidR="00B425DA" w:rsidRPr="00363F9C" w:rsidRDefault="00B425DA" w:rsidP="00B425DA">
      <w:pPr>
        <w:spacing w:after="0" w:line="276" w:lineRule="auto"/>
        <w:jc w:val="center"/>
        <w:rPr>
          <w:rFonts w:ascii="Garamond" w:eastAsia="Times New Roman" w:hAnsi="Garamond" w:cs="Times New Roman"/>
          <w:b/>
          <w:bCs/>
          <w:sz w:val="24"/>
          <w:szCs w:val="24"/>
          <w:lang w:eastAsia="hr-HR"/>
        </w:rPr>
      </w:pPr>
      <w:r w:rsidRPr="00363F9C">
        <w:rPr>
          <w:rFonts w:ascii="Garamond" w:eastAsia="Times New Roman" w:hAnsi="Garamond" w:cs="Times New Roman"/>
          <w:b/>
          <w:bCs/>
          <w:sz w:val="24"/>
          <w:szCs w:val="24"/>
          <w:lang w:eastAsia="hr-HR"/>
        </w:rPr>
        <w:t xml:space="preserve"> o načinu utvrđivanja plaća i visini koeficijenta za obračun plaća djelatnika Dječjeg vrtića Vlakić Martijanec</w:t>
      </w:r>
    </w:p>
    <w:p w14:paraId="01FACC2B" w14:textId="77777777" w:rsidR="00B425DA" w:rsidRPr="00363F9C" w:rsidRDefault="00B425DA" w:rsidP="00B425DA">
      <w:pPr>
        <w:spacing w:after="0" w:line="276" w:lineRule="auto"/>
        <w:jc w:val="center"/>
        <w:rPr>
          <w:rFonts w:ascii="Garamond" w:eastAsia="Times New Roman" w:hAnsi="Garamond" w:cs="Times New Roman"/>
          <w:b/>
          <w:bCs/>
          <w:sz w:val="24"/>
          <w:szCs w:val="24"/>
          <w:lang w:eastAsia="hr-HR"/>
        </w:rPr>
      </w:pPr>
    </w:p>
    <w:p w14:paraId="0D772F58" w14:textId="77777777" w:rsidR="00B425DA" w:rsidRPr="00363F9C" w:rsidRDefault="00B425DA" w:rsidP="00B425DA">
      <w:pPr>
        <w:spacing w:after="200" w:line="276" w:lineRule="auto"/>
        <w:jc w:val="both"/>
        <w:rPr>
          <w:rFonts w:ascii="Garamond" w:eastAsia="Calibri" w:hAnsi="Garamond" w:cs="Times New Roman"/>
          <w:b/>
          <w:bCs/>
          <w:color w:val="000000"/>
          <w:sz w:val="24"/>
          <w:szCs w:val="24"/>
        </w:rPr>
      </w:pPr>
      <w:r w:rsidRPr="00363F9C">
        <w:rPr>
          <w:rFonts w:ascii="Garamond" w:eastAsia="Calibri" w:hAnsi="Garamond" w:cs="Times New Roman"/>
          <w:b/>
          <w:bCs/>
          <w:color w:val="000000"/>
          <w:sz w:val="24"/>
          <w:szCs w:val="24"/>
        </w:rPr>
        <w:t>I</w:t>
      </w:r>
      <w:r w:rsidRPr="00363F9C">
        <w:rPr>
          <w:rFonts w:ascii="Garamond" w:eastAsia="Calibri" w:hAnsi="Garamond" w:cs="Times New Roman"/>
          <w:b/>
          <w:bCs/>
          <w:color w:val="000000"/>
          <w:sz w:val="24"/>
          <w:szCs w:val="24"/>
        </w:rPr>
        <w:tab/>
        <w:t>PRAVNI TEMELJ ZA DONOŠENJE ODLUKE</w:t>
      </w:r>
    </w:p>
    <w:p w14:paraId="305FEC68" w14:textId="609B447A" w:rsidR="00B425DA" w:rsidRPr="00363F9C" w:rsidRDefault="00B425DA" w:rsidP="00B425DA">
      <w:pPr>
        <w:spacing w:after="200" w:line="276" w:lineRule="auto"/>
        <w:jc w:val="both"/>
        <w:rPr>
          <w:rFonts w:ascii="Garamond" w:eastAsia="Calibri" w:hAnsi="Garamond" w:cs="Times New Roman"/>
          <w:b/>
          <w:bCs/>
          <w:color w:val="000000"/>
          <w:sz w:val="24"/>
          <w:szCs w:val="24"/>
        </w:rPr>
      </w:pPr>
      <w:r w:rsidRPr="00363F9C">
        <w:rPr>
          <w:rFonts w:ascii="Garamond" w:hAnsi="Garamond" w:cs="Times New Roman"/>
          <w:sz w:val="24"/>
          <w:szCs w:val="24"/>
        </w:rPr>
        <w:t>Pravni temelj za donošenje ove odluke je članak 35</w:t>
      </w:r>
      <w:r w:rsidR="00EE15E6" w:rsidRPr="00363F9C">
        <w:rPr>
          <w:rFonts w:ascii="Garamond" w:hAnsi="Garamond" w:cs="Times New Roman"/>
          <w:sz w:val="24"/>
          <w:szCs w:val="24"/>
        </w:rPr>
        <w:t xml:space="preserve">. </w:t>
      </w:r>
      <w:r w:rsidRPr="00363F9C">
        <w:rPr>
          <w:rFonts w:ascii="Garamond" w:hAnsi="Garamond" w:cs="Times New Roman"/>
          <w:sz w:val="24"/>
          <w:szCs w:val="24"/>
        </w:rPr>
        <w:t>Zakona o lokalnoj i područnoj (regionalnoj) samoupravi („Narodne novine“ broj 33/01, 60/01, 129/05, 109/07, 125/08, 36/09, 150/11, 144/12, 19/13, 137/15, 123/17, 98/19 i 144/20), članak 14. Odluke o osnivanju Dječjeg vrtića „Vlakić“ (Službeni vjesnik Varaždinske županije“ broj 39/20 i 25/20) i članak 31. Statuta Općine Martijanec („Službeni vjesnik Varaždinske županije“ broj 10/13, 24/13, 18/18, 09/20 i 14/21), a u svezi s člankom 41. i 51. Zakona o predškolskom odgoju i obrazovanju („Narodne novine“ broj 10/97, 107/07, 94/13, 98/19 i 57/22).</w:t>
      </w:r>
    </w:p>
    <w:p w14:paraId="6AFD2D6B" w14:textId="77777777" w:rsidR="00B425DA" w:rsidRPr="00363F9C" w:rsidRDefault="00B425DA" w:rsidP="00B425DA">
      <w:pPr>
        <w:spacing w:after="200" w:line="276" w:lineRule="auto"/>
        <w:jc w:val="both"/>
        <w:rPr>
          <w:rFonts w:ascii="Garamond" w:eastAsia="Calibri" w:hAnsi="Garamond" w:cs="Times New Roman"/>
          <w:b/>
          <w:bCs/>
          <w:color w:val="000000"/>
          <w:sz w:val="24"/>
          <w:szCs w:val="24"/>
        </w:rPr>
      </w:pPr>
      <w:r w:rsidRPr="00363F9C">
        <w:rPr>
          <w:rFonts w:ascii="Garamond" w:eastAsia="Calibri" w:hAnsi="Garamond" w:cs="Times New Roman"/>
          <w:b/>
          <w:bCs/>
          <w:color w:val="000000"/>
          <w:sz w:val="24"/>
          <w:szCs w:val="24"/>
        </w:rPr>
        <w:t>II</w:t>
      </w:r>
      <w:r w:rsidRPr="00363F9C">
        <w:rPr>
          <w:rFonts w:ascii="Garamond" w:eastAsia="Calibri" w:hAnsi="Garamond" w:cs="Times New Roman"/>
          <w:b/>
          <w:bCs/>
          <w:color w:val="000000"/>
          <w:sz w:val="24"/>
          <w:szCs w:val="24"/>
        </w:rPr>
        <w:tab/>
        <w:t xml:space="preserve"> OCJENA STANJA I TEMELJNA PITANJA KOJA SE TREBAJU UREDITI</w:t>
      </w:r>
    </w:p>
    <w:p w14:paraId="76250FF6" w14:textId="26BD8760" w:rsidR="000F4FDB" w:rsidRPr="00363F9C" w:rsidRDefault="00B425DA" w:rsidP="00B425DA">
      <w:pPr>
        <w:autoSpaceDE w:val="0"/>
        <w:autoSpaceDN w:val="0"/>
        <w:adjustRightInd w:val="0"/>
        <w:spacing w:after="200" w:line="276" w:lineRule="auto"/>
        <w:jc w:val="both"/>
        <w:rPr>
          <w:rFonts w:ascii="Garamond" w:eastAsia="Calibri" w:hAnsi="Garamond" w:cs="Times New Roman"/>
          <w:sz w:val="24"/>
          <w:szCs w:val="24"/>
        </w:rPr>
      </w:pPr>
      <w:r w:rsidRPr="00363F9C">
        <w:rPr>
          <w:rFonts w:ascii="Garamond" w:eastAsia="Calibri" w:hAnsi="Garamond" w:cs="Times New Roman"/>
          <w:sz w:val="24"/>
          <w:szCs w:val="24"/>
        </w:rPr>
        <w:t>Člankom 51.</w:t>
      </w:r>
      <w:r w:rsidRPr="00363F9C">
        <w:rPr>
          <w:rFonts w:ascii="Garamond" w:hAnsi="Garamond" w:cs="Times New Roman"/>
          <w:sz w:val="24"/>
          <w:szCs w:val="24"/>
        </w:rPr>
        <w:t xml:space="preserve"> Zakona  o predškolskom odgoju i obrazovanju („Narodne novine“ broj 10/97, 107/07, 94/13, 98/19 i 57/22) propisano je da se </w:t>
      </w:r>
      <w:r w:rsidRPr="00363F9C">
        <w:rPr>
          <w:rFonts w:ascii="Garamond" w:eastAsia="Calibri" w:hAnsi="Garamond" w:cs="Times New Roman"/>
          <w:sz w:val="24"/>
          <w:szCs w:val="24"/>
        </w:rPr>
        <w:t>na utvrđivanje i obračun plaća, naknada i drugih prihoda zaposlenika dječjih vrtića, koji su u vlasništvu jedinica lokalne uprave i samouprave ili Republike Hrvatske, primjenjuju propisi kojima se uređuju plaće, naknade i drugi prihodi javnih službenika i namještenika zaposlenih u osnovnom školstvu, ako su ti propisi povoljniji za zaposlenike. Nakon provedenog nadzora od strane prosvjetne inspekcije dobivene su naredbe za uskladbu sa zakonskim propisima. Kako bi se moglo postupiti po naredbama neophodno je do</w:t>
      </w:r>
      <w:r w:rsidR="000F4FDB" w:rsidRPr="00363F9C">
        <w:rPr>
          <w:rFonts w:ascii="Garamond" w:eastAsia="Calibri" w:hAnsi="Garamond" w:cs="Times New Roman"/>
          <w:sz w:val="24"/>
          <w:szCs w:val="24"/>
        </w:rPr>
        <w:t>nošenje nove odluke kojom se mijenjaju nazivi radnog mjesta i koeficijenti.</w:t>
      </w:r>
    </w:p>
    <w:tbl>
      <w:tblPr>
        <w:tblStyle w:val="Reetkatablice"/>
        <w:tblW w:w="9062" w:type="dxa"/>
        <w:tblLook w:val="04A0" w:firstRow="1" w:lastRow="0" w:firstColumn="1" w:lastColumn="0" w:noHBand="0" w:noVBand="1"/>
      </w:tblPr>
      <w:tblGrid>
        <w:gridCol w:w="6658"/>
        <w:gridCol w:w="2404"/>
      </w:tblGrid>
      <w:tr w:rsidR="000F4FDB" w:rsidRPr="00363F9C" w14:paraId="626D4419" w14:textId="77777777" w:rsidTr="00895948">
        <w:tc>
          <w:tcPr>
            <w:tcW w:w="6657" w:type="dxa"/>
            <w:shd w:val="clear" w:color="auto" w:fill="auto"/>
          </w:tcPr>
          <w:p w14:paraId="32984E35" w14:textId="77777777" w:rsidR="000F4FDB" w:rsidRPr="00363F9C" w:rsidRDefault="000F4FDB" w:rsidP="00895948">
            <w:pPr>
              <w:jc w:val="both"/>
              <w:rPr>
                <w:rFonts w:ascii="Garamond" w:hAnsi="Garamond" w:cs="Times New Roman"/>
                <w:b/>
                <w:bCs/>
                <w:sz w:val="24"/>
                <w:szCs w:val="24"/>
              </w:rPr>
            </w:pPr>
            <w:r w:rsidRPr="00363F9C">
              <w:rPr>
                <w:rFonts w:ascii="Garamond" w:hAnsi="Garamond" w:cs="Times New Roman"/>
                <w:b/>
                <w:bCs/>
                <w:sz w:val="24"/>
                <w:szCs w:val="24"/>
              </w:rPr>
              <w:t>Naziv radnog mjesta</w:t>
            </w:r>
          </w:p>
        </w:tc>
        <w:tc>
          <w:tcPr>
            <w:tcW w:w="2404" w:type="dxa"/>
            <w:shd w:val="clear" w:color="auto" w:fill="auto"/>
          </w:tcPr>
          <w:p w14:paraId="17FD1076" w14:textId="77777777" w:rsidR="000F4FDB" w:rsidRPr="00363F9C" w:rsidRDefault="000F4FDB" w:rsidP="00895948">
            <w:pPr>
              <w:jc w:val="both"/>
              <w:rPr>
                <w:rFonts w:ascii="Garamond" w:hAnsi="Garamond" w:cs="Times New Roman"/>
                <w:b/>
                <w:bCs/>
                <w:sz w:val="24"/>
                <w:szCs w:val="24"/>
              </w:rPr>
            </w:pPr>
            <w:r w:rsidRPr="00363F9C">
              <w:rPr>
                <w:rFonts w:ascii="Garamond" w:hAnsi="Garamond" w:cs="Times New Roman"/>
                <w:b/>
                <w:bCs/>
                <w:sz w:val="24"/>
                <w:szCs w:val="24"/>
              </w:rPr>
              <w:t>Koeficijent</w:t>
            </w:r>
          </w:p>
        </w:tc>
      </w:tr>
      <w:tr w:rsidR="000F4FDB" w:rsidRPr="00363F9C" w14:paraId="3DD23760" w14:textId="77777777" w:rsidTr="00895948">
        <w:tc>
          <w:tcPr>
            <w:tcW w:w="6657" w:type="dxa"/>
            <w:shd w:val="clear" w:color="auto" w:fill="auto"/>
          </w:tcPr>
          <w:p w14:paraId="14DA6CFE"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Ravnatelj (VSS)</w:t>
            </w:r>
          </w:p>
        </w:tc>
        <w:tc>
          <w:tcPr>
            <w:tcW w:w="2404" w:type="dxa"/>
            <w:shd w:val="clear" w:color="auto" w:fill="auto"/>
          </w:tcPr>
          <w:p w14:paraId="1A94140F"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2,317</w:t>
            </w:r>
          </w:p>
        </w:tc>
      </w:tr>
      <w:tr w:rsidR="000F4FDB" w:rsidRPr="00363F9C" w14:paraId="3B525772" w14:textId="77777777" w:rsidTr="00895948">
        <w:tc>
          <w:tcPr>
            <w:tcW w:w="6657" w:type="dxa"/>
            <w:tcBorders>
              <w:top w:val="nil"/>
            </w:tcBorders>
            <w:shd w:val="clear" w:color="auto" w:fill="auto"/>
          </w:tcPr>
          <w:p w14:paraId="44A332FE"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Ravnatelj (VŠS)</w:t>
            </w:r>
          </w:p>
        </w:tc>
        <w:tc>
          <w:tcPr>
            <w:tcW w:w="2404" w:type="dxa"/>
            <w:tcBorders>
              <w:top w:val="nil"/>
            </w:tcBorders>
            <w:shd w:val="clear" w:color="auto" w:fill="auto"/>
          </w:tcPr>
          <w:p w14:paraId="43E8214D"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2,037</w:t>
            </w:r>
          </w:p>
        </w:tc>
      </w:tr>
      <w:tr w:rsidR="000F4FDB" w:rsidRPr="00363F9C" w14:paraId="49987651" w14:textId="77777777" w:rsidTr="00895948">
        <w:tc>
          <w:tcPr>
            <w:tcW w:w="6657" w:type="dxa"/>
            <w:shd w:val="clear" w:color="auto" w:fill="auto"/>
          </w:tcPr>
          <w:p w14:paraId="60F18D66"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Pedagog bez položenog stručnog ispita</w:t>
            </w:r>
          </w:p>
        </w:tc>
        <w:tc>
          <w:tcPr>
            <w:tcW w:w="2404" w:type="dxa"/>
            <w:shd w:val="clear" w:color="auto" w:fill="auto"/>
          </w:tcPr>
          <w:p w14:paraId="2DCA6BDB"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1,357</w:t>
            </w:r>
          </w:p>
        </w:tc>
      </w:tr>
      <w:tr w:rsidR="000F4FDB" w:rsidRPr="00363F9C" w14:paraId="5875A953" w14:textId="77777777" w:rsidTr="00895948">
        <w:tc>
          <w:tcPr>
            <w:tcW w:w="6657" w:type="dxa"/>
            <w:tcBorders>
              <w:top w:val="nil"/>
            </w:tcBorders>
            <w:shd w:val="clear" w:color="auto" w:fill="auto"/>
          </w:tcPr>
          <w:p w14:paraId="78FFDF62"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Pedagog sa položenim stručnim ispitom</w:t>
            </w:r>
          </w:p>
        </w:tc>
        <w:tc>
          <w:tcPr>
            <w:tcW w:w="2404" w:type="dxa"/>
            <w:tcBorders>
              <w:top w:val="nil"/>
            </w:tcBorders>
            <w:shd w:val="clear" w:color="auto" w:fill="auto"/>
          </w:tcPr>
          <w:p w14:paraId="0B29AA44"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1,599</w:t>
            </w:r>
          </w:p>
        </w:tc>
      </w:tr>
      <w:tr w:rsidR="000F4FDB" w:rsidRPr="00363F9C" w14:paraId="24BC9304" w14:textId="77777777" w:rsidTr="00895948">
        <w:tc>
          <w:tcPr>
            <w:tcW w:w="6657" w:type="dxa"/>
            <w:shd w:val="clear" w:color="auto" w:fill="auto"/>
          </w:tcPr>
          <w:p w14:paraId="34EDBEF4"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Odgojitelj bez položenog stručnog ispita</w:t>
            </w:r>
          </w:p>
        </w:tc>
        <w:tc>
          <w:tcPr>
            <w:tcW w:w="2404" w:type="dxa"/>
            <w:shd w:val="clear" w:color="auto" w:fill="auto"/>
          </w:tcPr>
          <w:p w14:paraId="1FC35C67"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1,187</w:t>
            </w:r>
          </w:p>
        </w:tc>
      </w:tr>
      <w:tr w:rsidR="000F4FDB" w:rsidRPr="00363F9C" w14:paraId="15A3293A" w14:textId="77777777" w:rsidTr="00895948">
        <w:tc>
          <w:tcPr>
            <w:tcW w:w="6657" w:type="dxa"/>
            <w:shd w:val="clear" w:color="auto" w:fill="auto"/>
          </w:tcPr>
          <w:p w14:paraId="7160D1BF"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Odgojitelj sa položenim stručnim ispitom</w:t>
            </w:r>
          </w:p>
        </w:tc>
        <w:tc>
          <w:tcPr>
            <w:tcW w:w="2404" w:type="dxa"/>
            <w:shd w:val="clear" w:color="auto" w:fill="auto"/>
          </w:tcPr>
          <w:p w14:paraId="2A5B8FAA"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1,490</w:t>
            </w:r>
          </w:p>
        </w:tc>
      </w:tr>
      <w:tr w:rsidR="000F4FDB" w:rsidRPr="00363F9C" w14:paraId="20C5551B" w14:textId="77777777" w:rsidTr="00895948">
        <w:tc>
          <w:tcPr>
            <w:tcW w:w="6657" w:type="dxa"/>
            <w:shd w:val="clear" w:color="auto" w:fill="auto"/>
          </w:tcPr>
          <w:p w14:paraId="2F715FF3"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 xml:space="preserve">Zdravstveni voditelj </w:t>
            </w:r>
          </w:p>
        </w:tc>
        <w:tc>
          <w:tcPr>
            <w:tcW w:w="2404" w:type="dxa"/>
            <w:shd w:val="clear" w:color="auto" w:fill="auto"/>
          </w:tcPr>
          <w:p w14:paraId="2B7ACADD"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1,490</w:t>
            </w:r>
          </w:p>
        </w:tc>
      </w:tr>
      <w:tr w:rsidR="000F4FDB" w:rsidRPr="00363F9C" w14:paraId="13D800A5" w14:textId="77777777" w:rsidTr="00895948">
        <w:tc>
          <w:tcPr>
            <w:tcW w:w="6657" w:type="dxa"/>
            <w:shd w:val="clear" w:color="auto" w:fill="auto"/>
          </w:tcPr>
          <w:p w14:paraId="4D5EB7F6" w14:textId="5DFD0DCA" w:rsidR="000F4FDB" w:rsidRPr="00363F9C" w:rsidRDefault="000F4FDB" w:rsidP="00895948">
            <w:pPr>
              <w:jc w:val="both"/>
              <w:rPr>
                <w:rFonts w:ascii="Garamond" w:hAnsi="Garamond" w:cs="Times New Roman"/>
                <w:sz w:val="24"/>
                <w:szCs w:val="24"/>
              </w:rPr>
            </w:pPr>
            <w:r w:rsidRPr="00363F9C">
              <w:rPr>
                <w:rFonts w:ascii="Garamond" w:hAnsi="Garamond" w:cs="Times New Roman"/>
                <w:strike/>
                <w:sz w:val="24"/>
                <w:szCs w:val="24"/>
              </w:rPr>
              <w:t xml:space="preserve">Računovođa – tajnik </w:t>
            </w:r>
            <w:r w:rsidRPr="00363F9C">
              <w:rPr>
                <w:rFonts w:ascii="Garamond" w:hAnsi="Garamond" w:cs="Times New Roman"/>
                <w:sz w:val="24"/>
                <w:szCs w:val="24"/>
              </w:rPr>
              <w:t xml:space="preserve">    </w:t>
            </w:r>
            <w:r w:rsidRPr="00363F9C">
              <w:rPr>
                <w:rFonts w:ascii="Garamond" w:hAnsi="Garamond" w:cs="Times New Roman"/>
                <w:color w:val="C00000"/>
                <w:sz w:val="24"/>
                <w:szCs w:val="24"/>
              </w:rPr>
              <w:t>voditelj računovodstva</w:t>
            </w:r>
          </w:p>
        </w:tc>
        <w:tc>
          <w:tcPr>
            <w:tcW w:w="2404" w:type="dxa"/>
            <w:shd w:val="clear" w:color="auto" w:fill="auto"/>
          </w:tcPr>
          <w:p w14:paraId="45C43953"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1,507</w:t>
            </w:r>
          </w:p>
        </w:tc>
      </w:tr>
      <w:tr w:rsidR="000F4FDB" w:rsidRPr="00363F9C" w14:paraId="54848B05" w14:textId="77777777" w:rsidTr="00895948">
        <w:tc>
          <w:tcPr>
            <w:tcW w:w="6657" w:type="dxa"/>
            <w:shd w:val="clear" w:color="auto" w:fill="auto"/>
          </w:tcPr>
          <w:p w14:paraId="609D6519"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Kuhar</w:t>
            </w:r>
          </w:p>
        </w:tc>
        <w:tc>
          <w:tcPr>
            <w:tcW w:w="2404" w:type="dxa"/>
            <w:shd w:val="clear" w:color="auto" w:fill="auto"/>
          </w:tcPr>
          <w:p w14:paraId="113C61E7"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0,994</w:t>
            </w:r>
          </w:p>
        </w:tc>
      </w:tr>
      <w:tr w:rsidR="000F4FDB" w:rsidRPr="00363F9C" w14:paraId="10D7D274" w14:textId="77777777" w:rsidTr="000F4FDB">
        <w:tc>
          <w:tcPr>
            <w:tcW w:w="6657" w:type="dxa"/>
            <w:tcBorders>
              <w:bottom w:val="single" w:sz="4" w:space="0" w:color="auto"/>
            </w:tcBorders>
            <w:shd w:val="clear" w:color="auto" w:fill="auto"/>
          </w:tcPr>
          <w:p w14:paraId="7BD6302E" w14:textId="18E266A7" w:rsidR="000F4FDB" w:rsidRPr="00363F9C" w:rsidRDefault="000F4FDB" w:rsidP="00895948">
            <w:pPr>
              <w:jc w:val="both"/>
              <w:rPr>
                <w:rFonts w:ascii="Garamond" w:hAnsi="Garamond" w:cs="Times New Roman"/>
                <w:sz w:val="24"/>
                <w:szCs w:val="24"/>
              </w:rPr>
            </w:pPr>
            <w:r w:rsidRPr="00363F9C">
              <w:rPr>
                <w:rFonts w:ascii="Garamond" w:hAnsi="Garamond" w:cs="Times New Roman"/>
                <w:strike/>
                <w:sz w:val="24"/>
                <w:szCs w:val="24"/>
              </w:rPr>
              <w:t xml:space="preserve">Spremač – pomoćni kuhar </w:t>
            </w:r>
            <w:r w:rsidRPr="00363F9C">
              <w:rPr>
                <w:rFonts w:ascii="Garamond" w:hAnsi="Garamond" w:cs="Times New Roman"/>
                <w:sz w:val="24"/>
                <w:szCs w:val="24"/>
              </w:rPr>
              <w:t xml:space="preserve">   </w:t>
            </w:r>
            <w:r w:rsidRPr="00363F9C">
              <w:rPr>
                <w:rFonts w:ascii="Garamond" w:hAnsi="Garamond" w:cs="Times New Roman"/>
                <w:color w:val="C00000"/>
                <w:sz w:val="24"/>
                <w:szCs w:val="24"/>
              </w:rPr>
              <w:t>spremač</w:t>
            </w:r>
          </w:p>
        </w:tc>
        <w:tc>
          <w:tcPr>
            <w:tcW w:w="2404" w:type="dxa"/>
            <w:tcBorders>
              <w:bottom w:val="single" w:sz="4" w:space="0" w:color="auto"/>
            </w:tcBorders>
            <w:shd w:val="clear" w:color="auto" w:fill="auto"/>
          </w:tcPr>
          <w:p w14:paraId="63034E18" w14:textId="541A69F0" w:rsidR="000F4FDB" w:rsidRPr="00363F9C" w:rsidRDefault="000F4FDB" w:rsidP="00895948">
            <w:pPr>
              <w:jc w:val="both"/>
              <w:rPr>
                <w:rFonts w:ascii="Garamond" w:hAnsi="Garamond" w:cs="Times New Roman"/>
                <w:sz w:val="24"/>
                <w:szCs w:val="24"/>
              </w:rPr>
            </w:pPr>
            <w:r w:rsidRPr="00363F9C">
              <w:rPr>
                <w:rFonts w:ascii="Garamond" w:hAnsi="Garamond" w:cs="Times New Roman"/>
                <w:strike/>
                <w:sz w:val="24"/>
                <w:szCs w:val="24"/>
              </w:rPr>
              <w:t>0,800</w:t>
            </w:r>
            <w:r w:rsidRPr="00363F9C">
              <w:rPr>
                <w:rFonts w:ascii="Garamond" w:hAnsi="Garamond" w:cs="Times New Roman"/>
                <w:sz w:val="24"/>
                <w:szCs w:val="24"/>
              </w:rPr>
              <w:t xml:space="preserve">  </w:t>
            </w:r>
            <w:r w:rsidRPr="00363F9C">
              <w:rPr>
                <w:rFonts w:ascii="Garamond" w:hAnsi="Garamond" w:cs="Times New Roman"/>
                <w:color w:val="C00000"/>
                <w:sz w:val="24"/>
                <w:szCs w:val="24"/>
              </w:rPr>
              <w:t>0,973</w:t>
            </w:r>
          </w:p>
        </w:tc>
      </w:tr>
      <w:tr w:rsidR="000F4FDB" w:rsidRPr="00363F9C" w14:paraId="744A3928" w14:textId="77777777" w:rsidTr="000F4FDB">
        <w:tc>
          <w:tcPr>
            <w:tcW w:w="6657" w:type="dxa"/>
            <w:tcBorders>
              <w:top w:val="single" w:sz="4" w:space="0" w:color="auto"/>
              <w:bottom w:val="single" w:sz="4" w:space="0" w:color="auto"/>
            </w:tcBorders>
            <w:shd w:val="clear" w:color="auto" w:fill="auto"/>
          </w:tcPr>
          <w:p w14:paraId="42B1568D"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Pomoćni radnik za njegu, skrb i pratnju</w:t>
            </w:r>
          </w:p>
        </w:tc>
        <w:tc>
          <w:tcPr>
            <w:tcW w:w="2404" w:type="dxa"/>
            <w:tcBorders>
              <w:top w:val="single" w:sz="4" w:space="0" w:color="auto"/>
              <w:bottom w:val="single" w:sz="4" w:space="0" w:color="auto"/>
            </w:tcBorders>
            <w:shd w:val="clear" w:color="auto" w:fill="auto"/>
          </w:tcPr>
          <w:p w14:paraId="285231B8" w14:textId="77777777" w:rsidR="000F4FDB" w:rsidRPr="00363F9C" w:rsidRDefault="000F4FDB" w:rsidP="00895948">
            <w:pPr>
              <w:jc w:val="both"/>
              <w:rPr>
                <w:rFonts w:ascii="Garamond" w:hAnsi="Garamond" w:cs="Times New Roman"/>
                <w:sz w:val="24"/>
                <w:szCs w:val="24"/>
              </w:rPr>
            </w:pPr>
            <w:r w:rsidRPr="00363F9C">
              <w:rPr>
                <w:rFonts w:ascii="Garamond" w:hAnsi="Garamond" w:cs="Times New Roman"/>
                <w:sz w:val="24"/>
                <w:szCs w:val="24"/>
              </w:rPr>
              <w:t>0,973</w:t>
            </w:r>
          </w:p>
        </w:tc>
      </w:tr>
      <w:tr w:rsidR="000F4FDB" w:rsidRPr="00363F9C" w14:paraId="3AB54D6A" w14:textId="77777777" w:rsidTr="000F4FDB">
        <w:tc>
          <w:tcPr>
            <w:tcW w:w="6657" w:type="dxa"/>
            <w:tcBorders>
              <w:top w:val="single" w:sz="4" w:space="0" w:color="auto"/>
            </w:tcBorders>
            <w:shd w:val="clear" w:color="auto" w:fill="auto"/>
          </w:tcPr>
          <w:p w14:paraId="2FAF3CED" w14:textId="4962ED08" w:rsidR="000F4FDB" w:rsidRPr="00363F9C" w:rsidRDefault="000F4FDB" w:rsidP="00895948">
            <w:pPr>
              <w:jc w:val="both"/>
              <w:rPr>
                <w:rFonts w:ascii="Garamond" w:hAnsi="Garamond" w:cs="Times New Roman"/>
                <w:sz w:val="24"/>
                <w:szCs w:val="24"/>
              </w:rPr>
            </w:pPr>
            <w:r w:rsidRPr="00363F9C">
              <w:rPr>
                <w:rFonts w:ascii="Garamond" w:hAnsi="Garamond" w:cs="Times New Roman"/>
                <w:color w:val="C00000"/>
                <w:sz w:val="24"/>
                <w:szCs w:val="24"/>
              </w:rPr>
              <w:t>Pomoćni kuhar</w:t>
            </w:r>
          </w:p>
        </w:tc>
        <w:tc>
          <w:tcPr>
            <w:tcW w:w="2404" w:type="dxa"/>
            <w:tcBorders>
              <w:top w:val="single" w:sz="4" w:space="0" w:color="auto"/>
            </w:tcBorders>
            <w:shd w:val="clear" w:color="auto" w:fill="auto"/>
          </w:tcPr>
          <w:p w14:paraId="70C117A7" w14:textId="45347EC2" w:rsidR="000F4FDB" w:rsidRPr="00363F9C" w:rsidRDefault="000F4FDB" w:rsidP="00895948">
            <w:pPr>
              <w:jc w:val="both"/>
              <w:rPr>
                <w:rFonts w:ascii="Garamond" w:hAnsi="Garamond" w:cs="Times New Roman"/>
                <w:sz w:val="24"/>
                <w:szCs w:val="24"/>
              </w:rPr>
            </w:pPr>
            <w:r w:rsidRPr="00363F9C">
              <w:rPr>
                <w:rFonts w:ascii="Garamond" w:hAnsi="Garamond" w:cs="Times New Roman"/>
                <w:color w:val="C00000"/>
                <w:sz w:val="24"/>
                <w:szCs w:val="24"/>
              </w:rPr>
              <w:t>0,900</w:t>
            </w:r>
          </w:p>
        </w:tc>
      </w:tr>
    </w:tbl>
    <w:p w14:paraId="10BA5668" w14:textId="2717814C" w:rsidR="000F4FDB" w:rsidRPr="00363F9C" w:rsidRDefault="000F4FDB" w:rsidP="00B425DA">
      <w:pPr>
        <w:autoSpaceDE w:val="0"/>
        <w:autoSpaceDN w:val="0"/>
        <w:adjustRightInd w:val="0"/>
        <w:spacing w:after="200" w:line="276" w:lineRule="auto"/>
        <w:jc w:val="both"/>
        <w:rPr>
          <w:rFonts w:ascii="Garamond" w:eastAsia="Calibri" w:hAnsi="Garamond" w:cs="Times New Roman"/>
          <w:sz w:val="24"/>
          <w:szCs w:val="24"/>
        </w:rPr>
      </w:pPr>
    </w:p>
    <w:p w14:paraId="3D0B1D3D" w14:textId="77777777" w:rsidR="00B425DA" w:rsidRPr="00363F9C" w:rsidRDefault="00B425DA" w:rsidP="00B425DA">
      <w:pPr>
        <w:spacing w:after="200" w:line="276" w:lineRule="auto"/>
        <w:jc w:val="both"/>
        <w:rPr>
          <w:rFonts w:ascii="Garamond" w:eastAsia="Calibri" w:hAnsi="Garamond" w:cs="Times New Roman"/>
          <w:b/>
          <w:bCs/>
          <w:color w:val="000000"/>
          <w:sz w:val="24"/>
          <w:szCs w:val="24"/>
        </w:rPr>
      </w:pPr>
      <w:r w:rsidRPr="00363F9C">
        <w:rPr>
          <w:rFonts w:ascii="Garamond" w:eastAsia="Calibri" w:hAnsi="Garamond" w:cs="Times New Roman"/>
          <w:b/>
          <w:bCs/>
          <w:color w:val="000000"/>
          <w:sz w:val="24"/>
          <w:szCs w:val="24"/>
        </w:rPr>
        <w:t>III</w:t>
      </w:r>
      <w:r w:rsidRPr="00363F9C">
        <w:rPr>
          <w:rFonts w:ascii="Garamond" w:eastAsia="Calibri" w:hAnsi="Garamond" w:cs="Times New Roman"/>
          <w:b/>
          <w:bCs/>
          <w:color w:val="000000"/>
          <w:sz w:val="24"/>
          <w:szCs w:val="24"/>
        </w:rPr>
        <w:tab/>
        <w:t>SREDSTAVA POTREBNA ZA PROVOĐENJE ODLUKE, TE NAČIN KAKO ĆE SE ISTA OSIGURATI</w:t>
      </w:r>
    </w:p>
    <w:p w14:paraId="6E6D9250" w14:textId="13DF2A32" w:rsidR="00B425DA" w:rsidRPr="00363F9C" w:rsidRDefault="00B425DA" w:rsidP="00B425DA">
      <w:pPr>
        <w:suppressAutoHyphens/>
        <w:autoSpaceDN w:val="0"/>
        <w:spacing w:before="72" w:after="72" w:line="276" w:lineRule="auto"/>
        <w:jc w:val="both"/>
        <w:textAlignment w:val="baseline"/>
        <w:rPr>
          <w:rFonts w:ascii="Garamond" w:eastAsia="SimSun" w:hAnsi="Garamond" w:cs="Times New Roman"/>
          <w:kern w:val="3"/>
          <w:sz w:val="24"/>
          <w:szCs w:val="24"/>
        </w:rPr>
      </w:pPr>
      <w:r w:rsidRPr="00363F9C">
        <w:rPr>
          <w:rFonts w:ascii="Garamond" w:eastAsia="SimSun" w:hAnsi="Garamond" w:cs="Times New Roman"/>
          <w:kern w:val="3"/>
          <w:sz w:val="24"/>
          <w:szCs w:val="24"/>
        </w:rPr>
        <w:t>Za provedbu ove Odluke u Proračunu Općine Martijanec za 2023.</w:t>
      </w:r>
      <w:r w:rsidR="00EE15E6" w:rsidRPr="00363F9C">
        <w:rPr>
          <w:rFonts w:ascii="Garamond" w:eastAsia="SimSun" w:hAnsi="Garamond" w:cs="Times New Roman"/>
          <w:kern w:val="3"/>
          <w:sz w:val="24"/>
          <w:szCs w:val="24"/>
        </w:rPr>
        <w:t xml:space="preserve"> godinu i projekcije za 2024. i 2025.</w:t>
      </w:r>
      <w:r w:rsidRPr="00363F9C">
        <w:rPr>
          <w:rFonts w:ascii="Garamond" w:eastAsia="SimSun" w:hAnsi="Garamond" w:cs="Times New Roman"/>
          <w:kern w:val="3"/>
          <w:sz w:val="24"/>
          <w:szCs w:val="24"/>
        </w:rPr>
        <w:t xml:space="preserve"> godinu osigurana su sredstva u razdjelu 002 Jedinstveni upravni odjel, Glavi 00202 Dječji vrtić Vlakić Martijanec, Program 1013 Redovna djelatnost ranog i predškolskog odgoja i obrazovanja, Aktivnost A101301 Odgojno i tehničko osoblje, jaslice i vrtić. </w:t>
      </w:r>
    </w:p>
    <w:p w14:paraId="7C92E924" w14:textId="77777777" w:rsidR="00B425DA" w:rsidRPr="00363F9C" w:rsidRDefault="00B425DA" w:rsidP="00B425DA">
      <w:pPr>
        <w:spacing w:after="200" w:line="276" w:lineRule="auto"/>
        <w:jc w:val="both"/>
        <w:rPr>
          <w:rFonts w:ascii="Garamond" w:eastAsia="Calibri" w:hAnsi="Garamond" w:cs="Times New Roman"/>
          <w:b/>
          <w:bCs/>
          <w:color w:val="000000"/>
          <w:sz w:val="24"/>
          <w:szCs w:val="24"/>
        </w:rPr>
      </w:pPr>
    </w:p>
    <w:sectPr w:rsidR="00B425DA" w:rsidRPr="00363F9C">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9"/>
    <w:rsid w:val="000F4FDB"/>
    <w:rsid w:val="00363F9C"/>
    <w:rsid w:val="004B19B9"/>
    <w:rsid w:val="004B568E"/>
    <w:rsid w:val="00596F83"/>
    <w:rsid w:val="005E50C7"/>
    <w:rsid w:val="00A50099"/>
    <w:rsid w:val="00A7583D"/>
    <w:rsid w:val="00B260B2"/>
    <w:rsid w:val="00B425DA"/>
    <w:rsid w:val="00D53719"/>
    <w:rsid w:val="00EE15E6"/>
    <w:rsid w:val="00F547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BB2"/>
  <w15:chartTrackingRefBased/>
  <w15:docId w15:val="{2A07742D-AD64-47E5-998D-F68C36D9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B9"/>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4B19B9"/>
    <w:pPr>
      <w:spacing w:after="140" w:line="276" w:lineRule="auto"/>
    </w:pPr>
  </w:style>
  <w:style w:type="character" w:customStyle="1" w:styleId="TijelotekstaChar">
    <w:name w:val="Tijelo teksta Char"/>
    <w:basedOn w:val="Zadanifontodlomka"/>
    <w:link w:val="Tijeloteksta"/>
    <w:rsid w:val="004B19B9"/>
    <w:rPr>
      <w:kern w:val="0"/>
      <w14:ligatures w14:val="none"/>
    </w:rPr>
  </w:style>
  <w:style w:type="table" w:styleId="Reetkatablice">
    <w:name w:val="Table Grid"/>
    <w:basedOn w:val="Obinatablica"/>
    <w:uiPriority w:val="39"/>
    <w:rsid w:val="004B19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B19B9"/>
    <w:pPr>
      <w:ind w:left="720"/>
      <w:contextualSpacing/>
    </w:pPr>
  </w:style>
  <w:style w:type="paragraph" w:styleId="StandardWeb">
    <w:name w:val="Normal (Web)"/>
    <w:basedOn w:val="Normal"/>
    <w:uiPriority w:val="99"/>
    <w:unhideWhenUsed/>
    <w:rsid w:val="00A5009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0C56-313B-4634-A064-D18DD271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918</Words>
  <Characters>5235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Pepelko</dc:creator>
  <cp:keywords/>
  <dc:description/>
  <cp:lastModifiedBy>Nataša Pepelko</cp:lastModifiedBy>
  <cp:revision>6</cp:revision>
  <cp:lastPrinted>2023-07-04T06:56:00Z</cp:lastPrinted>
  <dcterms:created xsi:type="dcterms:W3CDTF">2023-07-04T05:17:00Z</dcterms:created>
  <dcterms:modified xsi:type="dcterms:W3CDTF">2023-07-04T06:56:00Z</dcterms:modified>
</cp:coreProperties>
</file>